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2"/>
        </w:rPr>
      </w:pPr>
      <w:r>
        <w:rPr>
          <w:rFonts w:ascii="Times New Roman"/>
          <w:sz w:val="32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69200" cy="3962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spacing w:before="171"/>
        <w:rPr>
          <w:rFonts w:ascii="Times New Roman"/>
          <w:sz w:val="32"/>
        </w:rPr>
      </w:pPr>
    </w:p>
    <w:p>
      <w:pPr>
        <w:spacing w:before="0"/>
        <w:ind w:left="1440" w:right="1123" w:firstLine="0"/>
        <w:jc w:val="left"/>
        <w:rPr>
          <w:b/>
          <w:sz w:val="32"/>
        </w:rPr>
      </w:pPr>
      <w:bookmarkStart w:name="Spectacles célestes : Images, savoirs et" w:id="1"/>
      <w:bookmarkEnd w:id="1"/>
      <w:r>
        <w:rPr/>
      </w:r>
      <w:r>
        <w:rPr>
          <w:b/>
          <w:color w:val="333333"/>
          <w:sz w:val="34"/>
        </w:rPr>
        <w:t>Spectacles</w:t>
      </w:r>
      <w:r>
        <w:rPr>
          <w:b/>
          <w:color w:val="333333"/>
          <w:spacing w:val="-6"/>
          <w:sz w:val="34"/>
        </w:rPr>
        <w:t> </w:t>
      </w:r>
      <w:r>
        <w:rPr>
          <w:b/>
          <w:color w:val="333333"/>
          <w:sz w:val="34"/>
        </w:rPr>
        <w:t>célestes</w:t>
      </w:r>
      <w:r>
        <w:rPr>
          <w:b/>
          <w:color w:val="333333"/>
          <w:spacing w:val="-6"/>
          <w:sz w:val="34"/>
        </w:rPr>
        <w:t> </w:t>
      </w:r>
      <w:r>
        <w:rPr>
          <w:b/>
          <w:color w:val="333333"/>
          <w:sz w:val="34"/>
        </w:rPr>
        <w:t>:</w:t>
      </w:r>
      <w:r>
        <w:rPr>
          <w:b/>
          <w:color w:val="333333"/>
          <w:spacing w:val="-6"/>
          <w:sz w:val="34"/>
        </w:rPr>
        <w:t> </w:t>
      </w:r>
      <w:r>
        <w:rPr>
          <w:b/>
          <w:color w:val="333333"/>
          <w:sz w:val="32"/>
        </w:rPr>
        <w:t>Images,</w:t>
      </w:r>
      <w:r>
        <w:rPr>
          <w:b/>
          <w:color w:val="333333"/>
          <w:spacing w:val="-5"/>
          <w:sz w:val="32"/>
        </w:rPr>
        <w:t> </w:t>
      </w:r>
      <w:r>
        <w:rPr>
          <w:b/>
          <w:color w:val="333333"/>
          <w:sz w:val="32"/>
        </w:rPr>
        <w:t>savoirs</w:t>
      </w:r>
      <w:r>
        <w:rPr>
          <w:b/>
          <w:color w:val="333333"/>
          <w:spacing w:val="-5"/>
          <w:sz w:val="32"/>
        </w:rPr>
        <w:t> </w:t>
      </w:r>
      <w:r>
        <w:rPr>
          <w:b/>
          <w:color w:val="333333"/>
          <w:sz w:val="32"/>
        </w:rPr>
        <w:t>et</w:t>
      </w:r>
      <w:r>
        <w:rPr>
          <w:b/>
          <w:color w:val="333333"/>
          <w:spacing w:val="-5"/>
          <w:sz w:val="32"/>
        </w:rPr>
        <w:t> </w:t>
      </w:r>
      <w:r>
        <w:rPr>
          <w:b/>
          <w:color w:val="333333"/>
          <w:sz w:val="32"/>
        </w:rPr>
        <w:t>croyances</w:t>
      </w:r>
      <w:r>
        <w:rPr>
          <w:b/>
          <w:color w:val="333333"/>
          <w:spacing w:val="-5"/>
          <w:sz w:val="32"/>
        </w:rPr>
        <w:t> </w:t>
      </w:r>
      <w:r>
        <w:rPr>
          <w:b/>
          <w:color w:val="333333"/>
          <w:sz w:val="32"/>
        </w:rPr>
        <w:t>sur</w:t>
      </w:r>
      <w:r>
        <w:rPr>
          <w:b/>
          <w:color w:val="333333"/>
          <w:spacing w:val="-5"/>
          <w:sz w:val="32"/>
        </w:rPr>
        <w:t> </w:t>
      </w:r>
      <w:r>
        <w:rPr>
          <w:b/>
          <w:color w:val="333333"/>
          <w:sz w:val="32"/>
        </w:rPr>
        <w:t>le cosmos à la Renaissance</w:t>
      </w:r>
    </w:p>
    <w:p>
      <w:pPr>
        <w:spacing w:before="240"/>
        <w:ind w:left="1440" w:right="0" w:firstLine="0"/>
        <w:jc w:val="left"/>
        <w:rPr>
          <w:sz w:val="18"/>
        </w:rPr>
      </w:pPr>
      <w:bookmarkStart w:name="Lundi 11 mai 2026 | 14h00 – 18h30  Insti" w:id="2"/>
      <w:bookmarkEnd w:id="2"/>
      <w:r>
        <w:rPr/>
      </w:r>
      <w:r>
        <w:rPr>
          <w:b/>
          <w:color w:val="333333"/>
          <w:sz w:val="24"/>
        </w:rPr>
        <w:t>Lundi</w:t>
      </w:r>
      <w:r>
        <w:rPr>
          <w:b/>
          <w:color w:val="333333"/>
          <w:spacing w:val="-5"/>
          <w:sz w:val="24"/>
        </w:rPr>
        <w:t> </w:t>
      </w:r>
      <w:r>
        <w:rPr>
          <w:b/>
          <w:color w:val="333333"/>
          <w:sz w:val="24"/>
        </w:rPr>
        <w:t>11</w:t>
      </w:r>
      <w:r>
        <w:rPr>
          <w:b/>
          <w:color w:val="333333"/>
          <w:spacing w:val="-3"/>
          <w:sz w:val="24"/>
        </w:rPr>
        <w:t> </w:t>
      </w:r>
      <w:r>
        <w:rPr>
          <w:b/>
          <w:color w:val="333333"/>
          <w:sz w:val="24"/>
        </w:rPr>
        <w:t>mai</w:t>
      </w:r>
      <w:r>
        <w:rPr>
          <w:b/>
          <w:color w:val="333333"/>
          <w:spacing w:val="-3"/>
          <w:sz w:val="24"/>
        </w:rPr>
        <w:t> </w:t>
      </w:r>
      <w:r>
        <w:rPr>
          <w:b/>
          <w:color w:val="333333"/>
          <w:sz w:val="24"/>
        </w:rPr>
        <w:t>2026</w:t>
      </w:r>
      <w:r>
        <w:rPr>
          <w:b/>
          <w:color w:val="333333"/>
          <w:spacing w:val="-3"/>
          <w:sz w:val="24"/>
        </w:rPr>
        <w:t> </w:t>
      </w:r>
      <w:r>
        <w:rPr>
          <w:color w:val="333333"/>
          <w:sz w:val="18"/>
        </w:rPr>
        <w:t>|</w:t>
      </w:r>
      <w:r>
        <w:rPr>
          <w:color w:val="333333"/>
          <w:spacing w:val="-2"/>
          <w:sz w:val="18"/>
        </w:rPr>
        <w:t> </w:t>
      </w:r>
      <w:r>
        <w:rPr>
          <w:color w:val="333333"/>
          <w:sz w:val="18"/>
        </w:rPr>
        <w:t>14h00</w:t>
      </w:r>
      <w:r>
        <w:rPr>
          <w:color w:val="333333"/>
          <w:spacing w:val="-2"/>
          <w:sz w:val="18"/>
        </w:rPr>
        <w:t> </w:t>
      </w:r>
      <w:r>
        <w:rPr>
          <w:color w:val="333333"/>
          <w:sz w:val="18"/>
        </w:rPr>
        <w:t>–</w:t>
      </w:r>
      <w:r>
        <w:rPr>
          <w:color w:val="333333"/>
          <w:spacing w:val="-2"/>
          <w:sz w:val="18"/>
        </w:rPr>
        <w:t> </w:t>
      </w:r>
      <w:r>
        <w:rPr>
          <w:color w:val="333333"/>
          <w:sz w:val="18"/>
        </w:rPr>
        <w:t>18h30</w:t>
      </w:r>
      <w:r>
        <w:rPr>
          <w:color w:val="333333"/>
          <w:spacing w:val="63"/>
          <w:w w:val="150"/>
          <w:sz w:val="18"/>
        </w:rPr>
        <w:t> </w:t>
      </w:r>
      <w:r>
        <w:rPr>
          <w:b/>
          <w:color w:val="333333"/>
          <w:sz w:val="26"/>
        </w:rPr>
        <w:t>Institut</w:t>
      </w:r>
      <w:r>
        <w:rPr>
          <w:b/>
          <w:color w:val="333333"/>
          <w:spacing w:val="-4"/>
          <w:sz w:val="26"/>
        </w:rPr>
        <w:t> </w:t>
      </w:r>
      <w:r>
        <w:rPr>
          <w:b/>
          <w:color w:val="333333"/>
          <w:sz w:val="26"/>
        </w:rPr>
        <w:t>national</w:t>
      </w:r>
      <w:r>
        <w:rPr>
          <w:b/>
          <w:color w:val="333333"/>
          <w:spacing w:val="-4"/>
          <w:sz w:val="26"/>
        </w:rPr>
        <w:t> </w:t>
      </w:r>
      <w:r>
        <w:rPr>
          <w:b/>
          <w:color w:val="333333"/>
          <w:sz w:val="26"/>
        </w:rPr>
        <w:t>d’histoire</w:t>
      </w:r>
      <w:r>
        <w:rPr>
          <w:b/>
          <w:color w:val="333333"/>
          <w:spacing w:val="-3"/>
          <w:sz w:val="26"/>
        </w:rPr>
        <w:t> </w:t>
      </w:r>
      <w:r>
        <w:rPr>
          <w:b/>
          <w:color w:val="333333"/>
          <w:sz w:val="26"/>
        </w:rPr>
        <w:t>de</w:t>
      </w:r>
      <w:r>
        <w:rPr>
          <w:b/>
          <w:color w:val="333333"/>
          <w:spacing w:val="-4"/>
          <w:sz w:val="26"/>
        </w:rPr>
        <w:t> </w:t>
      </w:r>
      <w:r>
        <w:rPr>
          <w:b/>
          <w:color w:val="333333"/>
          <w:sz w:val="26"/>
        </w:rPr>
        <w:t>l’art</w:t>
      </w:r>
      <w:r>
        <w:rPr>
          <w:b/>
          <w:color w:val="333333"/>
          <w:spacing w:val="-4"/>
          <w:sz w:val="26"/>
        </w:rPr>
        <w:t> </w:t>
      </w:r>
      <w:r>
        <w:rPr>
          <w:color w:val="333333"/>
          <w:sz w:val="18"/>
        </w:rPr>
        <w:t>|</w:t>
      </w:r>
      <w:r>
        <w:rPr>
          <w:color w:val="333333"/>
          <w:spacing w:val="-2"/>
          <w:sz w:val="18"/>
        </w:rPr>
        <w:t> </w:t>
      </w:r>
      <w:r>
        <w:rPr>
          <w:color w:val="333333"/>
          <w:sz w:val="18"/>
        </w:rPr>
        <w:t>Salle</w:t>
      </w:r>
      <w:r>
        <w:rPr>
          <w:color w:val="333333"/>
          <w:spacing w:val="-2"/>
          <w:sz w:val="18"/>
        </w:rPr>
        <w:t> Vasari</w:t>
      </w:r>
    </w:p>
    <w:p>
      <w:pPr>
        <w:spacing w:before="240"/>
        <w:ind w:left="1440" w:right="0" w:firstLine="0"/>
        <w:jc w:val="both"/>
        <w:rPr>
          <w:sz w:val="20"/>
        </w:rPr>
      </w:pPr>
      <w:bookmarkStart w:name="Demi-journée d’études de la Chaire de Pr" w:id="3"/>
      <w:bookmarkEnd w:id="3"/>
      <w:r>
        <w:rPr/>
      </w:r>
      <w:r>
        <w:rPr>
          <w:color w:val="333333"/>
          <w:sz w:val="20"/>
        </w:rPr>
        <w:t>Demi-journée</w:t>
      </w:r>
      <w:r>
        <w:rPr>
          <w:color w:val="333333"/>
          <w:spacing w:val="-10"/>
          <w:sz w:val="20"/>
        </w:rPr>
        <w:t> </w:t>
      </w:r>
      <w:r>
        <w:rPr>
          <w:color w:val="333333"/>
          <w:sz w:val="20"/>
        </w:rPr>
        <w:t>d’études</w:t>
      </w:r>
      <w:r>
        <w:rPr>
          <w:color w:val="333333"/>
          <w:spacing w:val="-7"/>
          <w:sz w:val="20"/>
        </w:rPr>
        <w:t> </w:t>
      </w:r>
      <w:r>
        <w:rPr>
          <w:color w:val="333333"/>
          <w:sz w:val="20"/>
        </w:rPr>
        <w:t>de</w:t>
      </w:r>
      <w:r>
        <w:rPr>
          <w:color w:val="333333"/>
          <w:spacing w:val="-7"/>
          <w:sz w:val="20"/>
        </w:rPr>
        <w:t> </w:t>
      </w:r>
      <w:r>
        <w:rPr>
          <w:color w:val="333333"/>
          <w:sz w:val="20"/>
        </w:rPr>
        <w:t>la</w:t>
      </w:r>
      <w:r>
        <w:rPr>
          <w:color w:val="333333"/>
          <w:spacing w:val="-7"/>
          <w:sz w:val="20"/>
        </w:rPr>
        <w:t> </w:t>
      </w:r>
      <w:r>
        <w:rPr>
          <w:color w:val="333333"/>
          <w:sz w:val="20"/>
        </w:rPr>
        <w:t>Chaire</w:t>
      </w:r>
      <w:r>
        <w:rPr>
          <w:color w:val="333333"/>
          <w:spacing w:val="-8"/>
          <w:sz w:val="20"/>
        </w:rPr>
        <w:t> </w:t>
      </w:r>
      <w:r>
        <w:rPr>
          <w:color w:val="333333"/>
          <w:sz w:val="20"/>
        </w:rPr>
        <w:t>de</w:t>
      </w:r>
      <w:r>
        <w:rPr>
          <w:color w:val="333333"/>
          <w:spacing w:val="-7"/>
          <w:sz w:val="20"/>
        </w:rPr>
        <w:t> </w:t>
      </w:r>
      <w:r>
        <w:rPr>
          <w:color w:val="333333"/>
          <w:sz w:val="20"/>
        </w:rPr>
        <w:t>Professeur</w:t>
      </w:r>
      <w:r>
        <w:rPr>
          <w:color w:val="333333"/>
          <w:spacing w:val="-7"/>
          <w:sz w:val="20"/>
        </w:rPr>
        <w:t> </w:t>
      </w:r>
      <w:r>
        <w:rPr>
          <w:color w:val="333333"/>
          <w:sz w:val="20"/>
        </w:rPr>
        <w:t>Junior</w:t>
      </w:r>
      <w:r>
        <w:rPr>
          <w:color w:val="333333"/>
          <w:spacing w:val="-7"/>
          <w:sz w:val="20"/>
        </w:rPr>
        <w:t> </w:t>
      </w:r>
      <w:r>
        <w:rPr>
          <w:color w:val="333333"/>
          <w:sz w:val="20"/>
        </w:rPr>
        <w:t>CNRS</w:t>
      </w:r>
      <w:r>
        <w:rPr>
          <w:color w:val="333333"/>
          <w:spacing w:val="-8"/>
          <w:sz w:val="20"/>
        </w:rPr>
        <w:t> </w:t>
      </w:r>
      <w:r>
        <w:rPr>
          <w:color w:val="333333"/>
          <w:sz w:val="20"/>
        </w:rPr>
        <w:t>ARVIGRAPH</w:t>
      </w:r>
      <w:r>
        <w:rPr>
          <w:color w:val="333333"/>
          <w:spacing w:val="-7"/>
          <w:sz w:val="20"/>
        </w:rPr>
        <w:t> </w:t>
      </w:r>
      <w:r>
        <w:rPr>
          <w:color w:val="333333"/>
          <w:sz w:val="20"/>
        </w:rPr>
        <w:t>(dir.</w:t>
      </w:r>
      <w:r>
        <w:rPr>
          <w:color w:val="333333"/>
          <w:spacing w:val="-7"/>
          <w:sz w:val="20"/>
        </w:rPr>
        <w:t> </w:t>
      </w:r>
      <w:r>
        <w:rPr>
          <w:color w:val="333333"/>
          <w:sz w:val="20"/>
        </w:rPr>
        <w:t>Florian</w:t>
      </w:r>
      <w:r>
        <w:rPr>
          <w:color w:val="333333"/>
          <w:spacing w:val="-7"/>
          <w:sz w:val="20"/>
        </w:rPr>
        <w:t> </w:t>
      </w:r>
      <w:r>
        <w:rPr>
          <w:color w:val="333333"/>
          <w:spacing w:val="-2"/>
          <w:sz w:val="20"/>
        </w:rPr>
        <w:t>Métral)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64" w:lineRule="auto"/>
        <w:ind w:left="1440" w:right="1452"/>
        <w:jc w:val="both"/>
      </w:pPr>
      <w:bookmarkStart w:name="Dans la culture antique, le spectacle (s" w:id="4"/>
      <w:bookmarkEnd w:id="4"/>
      <w:r>
        <w:rPr/>
      </w:r>
      <w:r>
        <w:rPr/>
        <w:t>Dans la culture antique, le spectacle (</w:t>
      </w:r>
      <w:r>
        <w:rPr>
          <w:i/>
        </w:rPr>
        <w:t>spectaculum</w:t>
      </w:r>
      <w:r>
        <w:rPr/>
        <w:t>) est ce qui se donne à voir à un public. Cicéron emploie ce terme pour désigner à la fois une « représentation offerte au regard » comme les courses de chars et toutes les autres</w:t>
      </w:r>
      <w:r>
        <w:rPr>
          <w:spacing w:val="-3"/>
        </w:rPr>
        <w:t> </w:t>
      </w:r>
      <w:r>
        <w:rPr/>
        <w:t>manifestations</w:t>
      </w:r>
      <w:r>
        <w:rPr>
          <w:spacing w:val="-3"/>
        </w:rPr>
        <w:t> </w:t>
      </w:r>
      <w:r>
        <w:rPr/>
        <w:t>qui</w:t>
      </w:r>
      <w:r>
        <w:rPr>
          <w:spacing w:val="-3"/>
        </w:rPr>
        <w:t> </w:t>
      </w:r>
      <w:r>
        <w:rPr/>
        <w:t>attirent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vue</w:t>
      </w:r>
      <w:r>
        <w:rPr>
          <w:spacing w:val="-3"/>
        </w:rPr>
        <w:t> </w:t>
      </w:r>
      <w:r>
        <w:rPr/>
        <w:t>(</w:t>
      </w:r>
      <w:r>
        <w:rPr>
          <w:i/>
        </w:rPr>
        <w:t>spectio</w:t>
      </w:r>
      <w:r>
        <w:rPr/>
        <w:t>), autrement dit une réalité fondamentalement visuelle. Par la formule « </w:t>
      </w:r>
      <w:r>
        <w:rPr>
          <w:i/>
        </w:rPr>
        <w:t>rerum caelestium</w:t>
      </w:r>
      <w:r>
        <w:rPr>
          <w:i/>
        </w:rPr>
        <w:t> spectaculum </w:t>
      </w:r>
      <w:r>
        <w:rPr/>
        <w:t>» (le spectacle des choses célestes), issue du </w:t>
      </w:r>
      <w:r>
        <w:rPr>
          <w:i/>
        </w:rPr>
        <w:t>De natura deorum</w:t>
      </w:r>
      <w:r>
        <w:rPr/>
        <w:t>, le même Cicéron entend cette fois-ci l’apparence et le mouvement des</w:t>
      </w:r>
      <w:r>
        <w:rPr>
          <w:spacing w:val="-3"/>
        </w:rPr>
        <w:t> </w:t>
      </w:r>
      <w:r>
        <w:rPr/>
        <w:t>astres,</w:t>
      </w:r>
      <w:r>
        <w:rPr>
          <w:spacing w:val="-3"/>
        </w:rPr>
        <w:t> </w:t>
      </w:r>
      <w:r>
        <w:rPr/>
        <w:t>tels</w:t>
      </w:r>
      <w:r>
        <w:rPr>
          <w:spacing w:val="-3"/>
        </w:rPr>
        <w:t> </w:t>
      </w:r>
      <w:r>
        <w:rPr/>
        <w:t>qu’ils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déploient sous nos yeux.</w:t>
      </w:r>
    </w:p>
    <w:p>
      <w:pPr>
        <w:pStyle w:val="BodyText"/>
        <w:spacing w:line="264" w:lineRule="auto" w:before="240"/>
        <w:ind w:left="1440" w:right="1454"/>
        <w:jc w:val="both"/>
      </w:pPr>
      <w:r>
        <w:rPr/>
        <w:t>Si la fascination pour le cosmos traverse toute l’histoire de la culture occidentale, sa représentation connaît à partir du XV</w:t>
      </w:r>
      <w:r>
        <w:rPr>
          <w:vertAlign w:val="superscript"/>
        </w:rPr>
        <w:t>e</w:t>
      </w:r>
      <w:r>
        <w:rPr>
          <w:spacing w:val="-4"/>
          <w:vertAlign w:val="baseline"/>
        </w:rPr>
        <w:t> </w:t>
      </w:r>
      <w:r>
        <w:rPr>
          <w:vertAlign w:val="baseline"/>
        </w:rPr>
        <w:t>siècle</w:t>
      </w:r>
      <w:r>
        <w:rPr>
          <w:spacing w:val="-4"/>
          <w:vertAlign w:val="baseline"/>
        </w:rPr>
        <w:t> </w:t>
      </w:r>
      <w:r>
        <w:rPr>
          <w:vertAlign w:val="baseline"/>
        </w:rPr>
        <w:t>un</w:t>
      </w:r>
      <w:r>
        <w:rPr>
          <w:spacing w:val="-4"/>
          <w:vertAlign w:val="baseline"/>
        </w:rPr>
        <w:t> </w:t>
      </w:r>
      <w:r>
        <w:rPr>
          <w:vertAlign w:val="baseline"/>
        </w:rPr>
        <w:t>développement</w:t>
      </w:r>
      <w:r>
        <w:rPr>
          <w:spacing w:val="-4"/>
          <w:vertAlign w:val="baseline"/>
        </w:rPr>
        <w:t> </w:t>
      </w:r>
      <w:r>
        <w:rPr>
          <w:vertAlign w:val="baseline"/>
        </w:rPr>
        <w:t>sans</w:t>
      </w:r>
      <w:r>
        <w:rPr>
          <w:spacing w:val="-4"/>
          <w:vertAlign w:val="baseline"/>
        </w:rPr>
        <w:t> </w:t>
      </w:r>
      <w:r>
        <w:rPr>
          <w:vertAlign w:val="baseline"/>
        </w:rPr>
        <w:t>précédent.</w:t>
      </w:r>
      <w:r>
        <w:rPr>
          <w:spacing w:val="-4"/>
          <w:vertAlign w:val="baseline"/>
        </w:rPr>
        <w:t> </w:t>
      </w:r>
      <w:r>
        <w:rPr>
          <w:vertAlign w:val="baseline"/>
        </w:rPr>
        <w:t>À</w:t>
      </w:r>
      <w:r>
        <w:rPr>
          <w:spacing w:val="-4"/>
          <w:vertAlign w:val="baseline"/>
        </w:rPr>
        <w:t> </w:t>
      </w:r>
      <w:r>
        <w:rPr>
          <w:vertAlign w:val="baseline"/>
        </w:rPr>
        <w:t>l’aube</w:t>
      </w:r>
      <w:r>
        <w:rPr>
          <w:spacing w:val="-4"/>
          <w:vertAlign w:val="baseline"/>
        </w:rPr>
        <w:t> </w:t>
      </w:r>
      <w:r>
        <w:rPr>
          <w:vertAlign w:val="baseline"/>
        </w:rPr>
        <w:t>de l’époque moderne, les phénomènes célestes — mouvements des astres, météores, apparitions lumineuses — font l’objet d’une attention renouvelée qui engage à la fois l’observation, le savoir et l’imagination visuelle. Le ciel apparaît alors comme un véritable théâtre de phénomènes au sens de « signes</w:t>
      </w:r>
      <w:r>
        <w:rPr>
          <w:spacing w:val="-3"/>
          <w:vertAlign w:val="baseline"/>
        </w:rPr>
        <w:t> </w:t>
      </w:r>
      <w:r>
        <w:rPr>
          <w:vertAlign w:val="baseline"/>
        </w:rPr>
        <w:t>»,</w:t>
      </w:r>
      <w:r>
        <w:rPr>
          <w:spacing w:val="-3"/>
          <w:vertAlign w:val="baseline"/>
        </w:rPr>
        <w:t> </w:t>
      </w:r>
      <w:r>
        <w:rPr>
          <w:vertAlign w:val="baseline"/>
        </w:rPr>
        <w:t>d’événements</w:t>
      </w:r>
      <w:r>
        <w:rPr>
          <w:spacing w:val="-3"/>
          <w:vertAlign w:val="baseline"/>
        </w:rPr>
        <w:t> </w:t>
      </w:r>
      <w:r>
        <w:rPr>
          <w:vertAlign w:val="baseline"/>
        </w:rPr>
        <w:t>qui</w:t>
      </w:r>
      <w:r>
        <w:rPr>
          <w:spacing w:val="-3"/>
          <w:vertAlign w:val="baseline"/>
        </w:rPr>
        <w:t> </w:t>
      </w:r>
      <w:r>
        <w:rPr>
          <w:vertAlign w:val="baseline"/>
        </w:rPr>
        <w:t>surviennent</w:t>
      </w:r>
      <w:r>
        <w:rPr>
          <w:spacing w:val="-3"/>
          <w:vertAlign w:val="baseline"/>
        </w:rPr>
        <w:t> </w:t>
      </w:r>
      <w:r>
        <w:rPr>
          <w:vertAlign w:val="baseline"/>
        </w:rPr>
        <w:t>à</w:t>
      </w:r>
      <w:r>
        <w:rPr>
          <w:spacing w:val="-3"/>
          <w:vertAlign w:val="baseline"/>
        </w:rPr>
        <w:t> </w:t>
      </w:r>
      <w:r>
        <w:rPr>
          <w:vertAlign w:val="baseline"/>
        </w:rPr>
        <w:t>un</w:t>
      </w:r>
      <w:r>
        <w:rPr>
          <w:spacing w:val="-3"/>
          <w:vertAlign w:val="baseline"/>
        </w:rPr>
        <w:t> </w:t>
      </w:r>
      <w:r>
        <w:rPr>
          <w:vertAlign w:val="baseline"/>
        </w:rPr>
        <w:t>moment donné dans un ou plusieurs lieux. L’expérience sensible de ces phénomènes (visuelle, corporelle, intellectuelle) contribue à enrichir la culture visuelle tout en renouvelant la compréhension du monde céleste.</w:t>
      </w:r>
    </w:p>
    <w:p>
      <w:pPr>
        <w:pStyle w:val="BodyText"/>
        <w:spacing w:line="264" w:lineRule="auto" w:before="240"/>
        <w:ind w:left="1440" w:right="1455"/>
        <w:jc w:val="both"/>
      </w:pPr>
      <w:r>
        <w:rPr/>
        <w:t>Cette demi-journée d’études propose d’explorer quelques aspects de cet imaginaire du ciel</w:t>
      </w:r>
      <w:r>
        <w:rPr>
          <w:spacing w:val="40"/>
        </w:rPr>
        <w:t> </w:t>
      </w:r>
      <w:r>
        <w:rPr/>
        <w:t>à la Renaissance. Les interventions, fondées sur des recherches en cours, porteront à la</w:t>
      </w:r>
      <w:r>
        <w:rPr>
          <w:spacing w:val="40"/>
        </w:rPr>
        <w:t> </w:t>
      </w:r>
      <w:r>
        <w:rPr/>
        <w:t>fois</w:t>
      </w:r>
      <w:r>
        <w:rPr>
          <w:spacing w:val="40"/>
        </w:rPr>
        <w:t> </w:t>
      </w:r>
      <w:r>
        <w:rPr/>
        <w:t>sur</w:t>
      </w:r>
      <w:r>
        <w:rPr>
          <w:spacing w:val="40"/>
        </w:rPr>
        <w:t> </w:t>
      </w:r>
      <w:r>
        <w:rPr/>
        <w:t>des</w:t>
      </w:r>
      <w:r>
        <w:rPr>
          <w:spacing w:val="40"/>
        </w:rPr>
        <w:t> </w:t>
      </w:r>
      <w:r>
        <w:rPr/>
        <w:t>phénomènes</w:t>
      </w:r>
      <w:r>
        <w:rPr>
          <w:spacing w:val="40"/>
        </w:rPr>
        <w:t> </w:t>
      </w:r>
      <w:r>
        <w:rPr/>
        <w:t>observables</w:t>
      </w:r>
      <w:r>
        <w:rPr>
          <w:spacing w:val="40"/>
        </w:rPr>
        <w:t> </w:t>
      </w:r>
      <w:r>
        <w:rPr/>
        <w:t>et</w:t>
      </w:r>
      <w:r>
        <w:rPr>
          <w:spacing w:val="40"/>
        </w:rPr>
        <w:t> </w:t>
      </w:r>
      <w:r>
        <w:rPr/>
        <w:t>empiriques</w:t>
      </w:r>
      <w:r>
        <w:rPr>
          <w:spacing w:val="40"/>
        </w:rPr>
        <w:t> </w:t>
      </w:r>
      <w:r>
        <w:rPr/>
        <w:t>—</w:t>
      </w:r>
      <w:r>
        <w:rPr>
          <w:spacing w:val="40"/>
        </w:rPr>
        <w:t> </w:t>
      </w:r>
      <w:r>
        <w:rPr/>
        <w:t>tels</w:t>
      </w:r>
      <w:r>
        <w:rPr>
          <w:spacing w:val="40"/>
        </w:rPr>
        <w:t> </w:t>
      </w:r>
      <w:r>
        <w:rPr/>
        <w:t>que</w:t>
      </w:r>
      <w:r>
        <w:rPr>
          <w:spacing w:val="40"/>
        </w:rPr>
        <w:t> </w:t>
      </w:r>
      <w:r>
        <w:rPr/>
        <w:t>les</w:t>
      </w:r>
      <w:r>
        <w:rPr>
          <w:spacing w:val="40"/>
        </w:rPr>
        <w:t> </w:t>
      </w:r>
      <w:r>
        <w:rPr/>
        <w:t>météorites</w:t>
      </w:r>
      <w:r>
        <w:rPr>
          <w:spacing w:val="40"/>
        </w:rPr>
        <w:t> </w:t>
      </w:r>
      <w:r>
        <w:rPr/>
        <w:t>ou</w:t>
      </w:r>
      <w:r>
        <w:rPr>
          <w:spacing w:val="40"/>
        </w:rPr>
        <w:t> </w:t>
      </w:r>
      <w:r>
        <w:rPr/>
        <w:t>les arcs-en-ciel — et sur les formes, intellectuelles et culturelles, par lesquelles ces manifestations du ciel furent comprises, interprétées et mises en image.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"/>
      </w:pPr>
    </w:p>
    <w:p>
      <w:pPr>
        <w:spacing w:before="1"/>
        <w:ind w:left="1440" w:right="0" w:firstLine="0"/>
        <w:jc w:val="both"/>
        <w:rPr>
          <w:sz w:val="14"/>
        </w:rPr>
      </w:pPr>
      <w:r>
        <w:rPr>
          <w:sz w:val="14"/>
        </w:rPr>
        <w:t>Illustration</w:t>
      </w:r>
      <w:r>
        <w:rPr>
          <w:spacing w:val="26"/>
          <w:sz w:val="14"/>
        </w:rPr>
        <w:t> </w:t>
      </w:r>
      <w:r>
        <w:rPr>
          <w:sz w:val="14"/>
        </w:rPr>
        <w:t>:</w:t>
      </w:r>
      <w:r>
        <w:rPr>
          <w:spacing w:val="-6"/>
          <w:sz w:val="14"/>
        </w:rPr>
        <w:t> </w:t>
      </w:r>
      <w:r>
        <w:rPr>
          <w:sz w:val="14"/>
        </w:rPr>
        <w:t>Matthias</w:t>
      </w:r>
      <w:r>
        <w:rPr>
          <w:spacing w:val="-5"/>
          <w:sz w:val="14"/>
        </w:rPr>
        <w:t> </w:t>
      </w:r>
      <w:r>
        <w:rPr>
          <w:sz w:val="14"/>
        </w:rPr>
        <w:t>Gerung,</w:t>
      </w:r>
      <w:r>
        <w:rPr>
          <w:spacing w:val="-5"/>
          <w:sz w:val="14"/>
        </w:rPr>
        <w:t> </w:t>
      </w:r>
      <w:r>
        <w:rPr>
          <w:i/>
          <w:sz w:val="14"/>
        </w:rPr>
        <w:t>La</w:t>
      </w:r>
      <w:r>
        <w:rPr>
          <w:i/>
          <w:spacing w:val="-6"/>
          <w:sz w:val="14"/>
        </w:rPr>
        <w:t> </w:t>
      </w:r>
      <w:r>
        <w:rPr>
          <w:i/>
          <w:sz w:val="14"/>
        </w:rPr>
        <w:t>Mélancolie</w:t>
      </w:r>
      <w:r>
        <w:rPr>
          <w:i/>
          <w:spacing w:val="-5"/>
          <w:sz w:val="14"/>
        </w:rPr>
        <w:t> </w:t>
      </w:r>
      <w:r>
        <w:rPr>
          <w:i/>
          <w:sz w:val="14"/>
        </w:rPr>
        <w:t>dans</w:t>
      </w:r>
      <w:r>
        <w:rPr>
          <w:i/>
          <w:spacing w:val="-5"/>
          <w:sz w:val="14"/>
        </w:rPr>
        <w:t> </w:t>
      </w:r>
      <w:r>
        <w:rPr>
          <w:i/>
          <w:sz w:val="14"/>
        </w:rPr>
        <w:t>le</w:t>
      </w:r>
      <w:r>
        <w:rPr>
          <w:i/>
          <w:spacing w:val="-6"/>
          <w:sz w:val="14"/>
        </w:rPr>
        <w:t> </w:t>
      </w:r>
      <w:r>
        <w:rPr>
          <w:i/>
          <w:sz w:val="14"/>
        </w:rPr>
        <w:t>jardin</w:t>
      </w:r>
      <w:r>
        <w:rPr>
          <w:i/>
          <w:spacing w:val="-5"/>
          <w:sz w:val="14"/>
        </w:rPr>
        <w:t> </w:t>
      </w:r>
      <w:r>
        <w:rPr>
          <w:i/>
          <w:sz w:val="14"/>
        </w:rPr>
        <w:t>de</w:t>
      </w:r>
      <w:r>
        <w:rPr>
          <w:i/>
          <w:spacing w:val="-5"/>
          <w:sz w:val="14"/>
        </w:rPr>
        <w:t> </w:t>
      </w:r>
      <w:r>
        <w:rPr>
          <w:i/>
          <w:sz w:val="14"/>
        </w:rPr>
        <w:t>la</w:t>
      </w:r>
      <w:r>
        <w:rPr>
          <w:i/>
          <w:spacing w:val="-6"/>
          <w:sz w:val="14"/>
        </w:rPr>
        <w:t> </w:t>
      </w:r>
      <w:r>
        <w:rPr>
          <w:i/>
          <w:sz w:val="14"/>
        </w:rPr>
        <w:t>vie</w:t>
      </w:r>
      <w:r>
        <w:rPr>
          <w:i/>
          <w:spacing w:val="-5"/>
          <w:sz w:val="14"/>
        </w:rPr>
        <w:t> </w:t>
      </w:r>
      <w:r>
        <w:rPr>
          <w:sz w:val="14"/>
        </w:rPr>
        <w:t>(détail),</w:t>
      </w:r>
      <w:r>
        <w:rPr>
          <w:spacing w:val="-5"/>
          <w:sz w:val="14"/>
        </w:rPr>
        <w:t> </w:t>
      </w:r>
      <w:r>
        <w:rPr>
          <w:sz w:val="14"/>
        </w:rPr>
        <w:t>1558,</w:t>
      </w:r>
      <w:r>
        <w:rPr>
          <w:spacing w:val="-6"/>
          <w:sz w:val="14"/>
        </w:rPr>
        <w:t> </w:t>
      </w:r>
      <w:r>
        <w:rPr>
          <w:sz w:val="14"/>
        </w:rPr>
        <w:t>huile</w:t>
      </w:r>
      <w:r>
        <w:rPr>
          <w:spacing w:val="-5"/>
          <w:sz w:val="14"/>
        </w:rPr>
        <w:t> </w:t>
      </w:r>
      <w:r>
        <w:rPr>
          <w:sz w:val="14"/>
        </w:rPr>
        <w:t>sur</w:t>
      </w:r>
      <w:r>
        <w:rPr>
          <w:spacing w:val="-5"/>
          <w:sz w:val="14"/>
        </w:rPr>
        <w:t> </w:t>
      </w:r>
      <w:r>
        <w:rPr>
          <w:sz w:val="14"/>
        </w:rPr>
        <w:t>bois,</w:t>
      </w:r>
      <w:r>
        <w:rPr>
          <w:spacing w:val="-6"/>
          <w:sz w:val="14"/>
        </w:rPr>
        <w:t> </w:t>
      </w:r>
      <w:r>
        <w:rPr>
          <w:sz w:val="14"/>
        </w:rPr>
        <w:t>Staatliche</w:t>
      </w:r>
      <w:r>
        <w:rPr>
          <w:spacing w:val="-5"/>
          <w:sz w:val="14"/>
        </w:rPr>
        <w:t> </w:t>
      </w:r>
      <w:r>
        <w:rPr>
          <w:sz w:val="14"/>
        </w:rPr>
        <w:t>Kunsthalle</w:t>
      </w:r>
      <w:r>
        <w:rPr>
          <w:spacing w:val="-5"/>
          <w:sz w:val="14"/>
        </w:rPr>
        <w:t> </w:t>
      </w:r>
      <w:r>
        <w:rPr>
          <w:spacing w:val="-2"/>
          <w:sz w:val="14"/>
        </w:rPr>
        <w:t>Karlsruhe.</w:t>
      </w:r>
    </w:p>
    <w:p>
      <w:pPr>
        <w:spacing w:after="0"/>
        <w:jc w:val="both"/>
        <w:rPr>
          <w:sz w:val="14"/>
        </w:rPr>
        <w:sectPr>
          <w:type w:val="continuous"/>
          <w:pgSz w:w="11920" w:h="16840"/>
          <w:pgMar w:top="180" w:bottom="280" w:left="0" w:right="0"/>
        </w:sectPr>
      </w:pPr>
    </w:p>
    <w:p>
      <w:pPr>
        <w:pStyle w:val="Heading1"/>
      </w:pPr>
      <w:bookmarkStart w:name="Programme " w:id="5"/>
      <w:bookmarkEnd w:id="5"/>
      <w:r>
        <w:rPr>
          <w:b w:val="0"/>
        </w:rPr>
      </w:r>
      <w:r>
        <w:rPr>
          <w:color w:val="333333"/>
          <w:spacing w:val="-2"/>
        </w:rPr>
        <w:t>Programme</w:t>
      </w:r>
    </w:p>
    <w:p>
      <w:pPr>
        <w:pStyle w:val="BodyText"/>
        <w:spacing w:before="213"/>
        <w:rPr>
          <w:b/>
          <w:sz w:val="32"/>
        </w:rPr>
      </w:pPr>
    </w:p>
    <w:p>
      <w:pPr>
        <w:spacing w:before="1"/>
        <w:ind w:left="1440" w:right="0" w:firstLine="0"/>
        <w:jc w:val="left"/>
        <w:rPr>
          <w:b/>
          <w:sz w:val="24"/>
        </w:rPr>
      </w:pPr>
      <w:bookmarkStart w:name="14h00 | Introduction  " w:id="6"/>
      <w:bookmarkEnd w:id="6"/>
      <w:r>
        <w:rPr/>
      </w:r>
      <w:r>
        <w:rPr>
          <w:b/>
          <w:color w:val="333333"/>
          <w:sz w:val="24"/>
        </w:rPr>
        <w:t>14h00 </w:t>
      </w:r>
      <w:bookmarkStart w:name="Florian Métral (CNRS / Centre André-Chas" w:id="7"/>
      <w:bookmarkEnd w:id="7"/>
      <w:r>
        <w:rPr>
          <w:b/>
          <w:color w:val="333333"/>
          <w:sz w:val="24"/>
        </w:rPr>
        <w:t>|</w:t>
      </w:r>
      <w:r>
        <w:rPr>
          <w:b/>
          <w:color w:val="333333"/>
          <w:sz w:val="24"/>
        </w:rPr>
        <w:t> </w:t>
      </w:r>
      <w:r>
        <w:rPr>
          <w:b/>
          <w:color w:val="333333"/>
          <w:spacing w:val="-2"/>
          <w:sz w:val="24"/>
        </w:rPr>
        <w:t>Introduction</w:t>
      </w:r>
    </w:p>
    <w:p>
      <w:pPr>
        <w:spacing w:before="0"/>
        <w:ind w:left="2160" w:right="0" w:firstLine="0"/>
        <w:jc w:val="left"/>
        <w:rPr>
          <w:sz w:val="24"/>
        </w:rPr>
      </w:pPr>
      <w:bookmarkStart w:name="Le cosmos comme spectacle : enjeux d'une" w:id="8"/>
      <w:bookmarkEnd w:id="8"/>
      <w:r>
        <w:rPr/>
      </w:r>
      <w:r>
        <w:rPr>
          <w:color w:val="333333"/>
          <w:sz w:val="24"/>
        </w:rPr>
        <w:t>Florian Métral (CNRS / Centre André-</w:t>
      </w:r>
      <w:r>
        <w:rPr>
          <w:color w:val="333333"/>
          <w:spacing w:val="-2"/>
          <w:sz w:val="24"/>
        </w:rPr>
        <w:t>Chastel)</w:t>
      </w:r>
    </w:p>
    <w:p>
      <w:pPr>
        <w:pStyle w:val="Heading2"/>
        <w:rPr>
          <w:i/>
        </w:rPr>
      </w:pPr>
      <w:r>
        <w:rPr>
          <w:i/>
          <w:color w:val="333333"/>
        </w:rPr>
        <w:t>Le cosmos comme spectacle : enjeux d'une culture visuelle à la </w:t>
      </w:r>
      <w:r>
        <w:rPr>
          <w:i/>
          <w:color w:val="333333"/>
          <w:spacing w:val="-2"/>
        </w:rPr>
        <w:t>Renaissance</w:t>
      </w:r>
    </w:p>
    <w:p>
      <w:pPr>
        <w:spacing w:before="276"/>
        <w:ind w:left="1440" w:right="0" w:firstLine="0"/>
        <w:jc w:val="left"/>
        <w:rPr>
          <w:b/>
          <w:sz w:val="24"/>
        </w:rPr>
      </w:pPr>
      <w:bookmarkStart w:name=" " w:id="9"/>
      <w:bookmarkEnd w:id="9"/>
      <w:r>
        <w:rPr/>
      </w:r>
      <w:bookmarkStart w:name="14h20 | Communication I  " w:id="10"/>
      <w:bookmarkEnd w:id="10"/>
      <w:r>
        <w:rPr/>
      </w:r>
      <w:r>
        <w:rPr>
          <w:b/>
          <w:color w:val="333333"/>
          <w:sz w:val="24"/>
        </w:rPr>
        <w:t>14h20 </w:t>
      </w:r>
      <w:bookmarkStart w:name="Allan Didot (CNRS / Centre André-Chastel" w:id="11"/>
      <w:bookmarkEnd w:id="11"/>
      <w:r>
        <w:rPr>
          <w:b/>
          <w:color w:val="333333"/>
          <w:sz w:val="24"/>
        </w:rPr>
        <w:t>|</w:t>
      </w:r>
      <w:r>
        <w:rPr>
          <w:b/>
          <w:color w:val="333333"/>
          <w:sz w:val="24"/>
        </w:rPr>
        <w:t> Communication </w:t>
      </w:r>
      <w:r>
        <w:rPr>
          <w:b/>
          <w:color w:val="333333"/>
          <w:spacing w:val="-10"/>
          <w:sz w:val="24"/>
        </w:rPr>
        <w:t>I</w:t>
      </w:r>
    </w:p>
    <w:p>
      <w:pPr>
        <w:spacing w:before="0"/>
        <w:ind w:left="2160" w:right="0" w:firstLine="0"/>
        <w:jc w:val="left"/>
        <w:rPr>
          <w:sz w:val="24"/>
        </w:rPr>
      </w:pPr>
      <w:r>
        <w:rPr>
          <w:color w:val="333333"/>
          <w:sz w:val="24"/>
        </w:rPr>
        <w:t>Allan Didot (CNRS / Centre André-</w:t>
      </w:r>
      <w:r>
        <w:rPr>
          <w:color w:val="333333"/>
          <w:spacing w:val="-2"/>
          <w:sz w:val="24"/>
        </w:rPr>
        <w:t>Chastel)</w:t>
      </w:r>
    </w:p>
    <w:p>
      <w:pPr>
        <w:pStyle w:val="Heading2"/>
        <w:ind w:right="1123"/>
      </w:pPr>
      <w:bookmarkStart w:name="Secretorum naturae : la météorite d’Ensi" w:id="12"/>
      <w:bookmarkEnd w:id="12"/>
      <w:r>
        <w:rPr>
          <w:i w:val="0"/>
        </w:rPr>
      </w:r>
      <w:r>
        <w:rPr>
          <w:i/>
          <w:color w:val="333333"/>
        </w:rPr>
        <w:t>Secretorum</w:t>
      </w:r>
      <w:r>
        <w:rPr>
          <w:i/>
          <w:color w:val="333333"/>
          <w:spacing w:val="40"/>
        </w:rPr>
        <w:t> </w:t>
      </w:r>
      <w:r>
        <w:rPr>
          <w:i/>
          <w:color w:val="333333"/>
        </w:rPr>
        <w:t>naturae</w:t>
      </w:r>
      <w:r>
        <w:rPr>
          <w:i/>
          <w:color w:val="333333"/>
          <w:spacing w:val="40"/>
        </w:rPr>
        <w:t> </w:t>
      </w:r>
      <w:r>
        <w:rPr>
          <w:i/>
          <w:color w:val="333333"/>
        </w:rPr>
        <w:t>:</w:t>
      </w:r>
      <w:r>
        <w:rPr>
          <w:i/>
          <w:color w:val="333333"/>
          <w:spacing w:val="40"/>
        </w:rPr>
        <w:t> </w:t>
      </w:r>
      <w:r>
        <w:rPr>
          <w:i/>
          <w:color w:val="333333"/>
        </w:rPr>
        <w:t>la</w:t>
      </w:r>
      <w:r>
        <w:rPr>
          <w:i/>
          <w:color w:val="333333"/>
          <w:spacing w:val="40"/>
        </w:rPr>
        <w:t> </w:t>
      </w:r>
      <w:r>
        <w:rPr>
          <w:i/>
          <w:color w:val="333333"/>
        </w:rPr>
        <w:t>météorite</w:t>
      </w:r>
      <w:r>
        <w:rPr>
          <w:i/>
          <w:color w:val="333333"/>
          <w:spacing w:val="40"/>
        </w:rPr>
        <w:t> </w:t>
      </w:r>
      <w:r>
        <w:rPr>
          <w:i/>
          <w:color w:val="333333"/>
        </w:rPr>
        <w:t>d’Ensisheim</w:t>
      </w:r>
      <w:r>
        <w:rPr>
          <w:i/>
          <w:color w:val="333333"/>
          <w:spacing w:val="40"/>
        </w:rPr>
        <w:t> </w:t>
      </w:r>
      <w:r>
        <w:rPr>
          <w:i/>
          <w:color w:val="333333"/>
        </w:rPr>
        <w:t>sous</w:t>
      </w:r>
      <w:r>
        <w:rPr>
          <w:i/>
          <w:color w:val="333333"/>
          <w:spacing w:val="40"/>
        </w:rPr>
        <w:t> </w:t>
      </w:r>
      <w:r>
        <w:rPr>
          <w:i/>
          <w:color w:val="333333"/>
        </w:rPr>
        <w:t>le</w:t>
      </w:r>
      <w:r>
        <w:rPr>
          <w:i/>
          <w:color w:val="333333"/>
          <w:spacing w:val="40"/>
        </w:rPr>
        <w:t> </w:t>
      </w:r>
      <w:r>
        <w:rPr>
          <w:i/>
          <w:color w:val="333333"/>
        </w:rPr>
        <w:t>regard</w:t>
      </w:r>
      <w:r>
        <w:rPr>
          <w:i/>
          <w:color w:val="333333"/>
          <w:spacing w:val="40"/>
        </w:rPr>
        <w:t> </w:t>
      </w:r>
      <w:r>
        <w:rPr>
          <w:i/>
          <w:color w:val="333333"/>
        </w:rPr>
        <w:t>de</w:t>
      </w:r>
      <w:r>
        <w:rPr>
          <w:i/>
          <w:color w:val="333333"/>
          <w:spacing w:val="40"/>
        </w:rPr>
        <w:t> </w:t>
      </w:r>
      <w:r>
        <w:rPr>
          <w:i/>
          <w:color w:val="333333"/>
        </w:rPr>
        <w:t>Joseph</w:t>
      </w:r>
      <w:r>
        <w:rPr>
          <w:color w:val="333333"/>
        </w:rPr>
        <w:t> </w:t>
      </w:r>
      <w:r>
        <w:rPr>
          <w:color w:val="333333"/>
          <w:spacing w:val="-2"/>
        </w:rPr>
        <w:t>Grünpeck</w:t>
      </w:r>
    </w:p>
    <w:p>
      <w:pPr>
        <w:spacing w:before="253"/>
        <w:ind w:left="1440" w:right="0" w:firstLine="0"/>
        <w:jc w:val="left"/>
        <w:rPr>
          <w:b/>
          <w:sz w:val="24"/>
        </w:rPr>
      </w:pPr>
      <w:bookmarkStart w:name="15h20 | Pause (15 min) " w:id="13"/>
      <w:bookmarkEnd w:id="13"/>
      <w:r>
        <w:rPr/>
      </w:r>
      <w:r>
        <w:rPr>
          <w:b/>
          <w:color w:val="333333"/>
          <w:sz w:val="24"/>
        </w:rPr>
        <w:t>15h20 | Pause (15 </w:t>
      </w:r>
      <w:r>
        <w:rPr>
          <w:b/>
          <w:color w:val="333333"/>
          <w:spacing w:val="-4"/>
          <w:sz w:val="24"/>
        </w:rPr>
        <w:t>min)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14"/>
        <w:rPr>
          <w:b/>
          <w:sz w:val="24"/>
        </w:rPr>
      </w:pPr>
    </w:p>
    <w:p>
      <w:pPr>
        <w:spacing w:before="0"/>
        <w:ind w:left="1440" w:right="0" w:firstLine="0"/>
        <w:jc w:val="left"/>
        <w:rPr>
          <w:b/>
          <w:sz w:val="24"/>
        </w:rPr>
      </w:pPr>
      <w:bookmarkStart w:name=" " w:id="14"/>
      <w:bookmarkEnd w:id="14"/>
      <w:r>
        <w:rPr/>
      </w:r>
      <w:bookmarkStart w:name="15h35 | Communication II  " w:id="15"/>
      <w:bookmarkEnd w:id="15"/>
      <w:r>
        <w:rPr/>
      </w:r>
      <w:r>
        <w:rPr>
          <w:b/>
          <w:color w:val="333333"/>
          <w:sz w:val="24"/>
        </w:rPr>
        <w:t>15h35 </w:t>
      </w:r>
      <w:bookmarkStart w:name="Angèle Tence (CNRS / Centre André-Chaste" w:id="16"/>
      <w:bookmarkEnd w:id="16"/>
      <w:r>
        <w:rPr>
          <w:b/>
          <w:color w:val="333333"/>
          <w:sz w:val="24"/>
        </w:rPr>
        <w:t>|</w:t>
      </w:r>
      <w:r>
        <w:rPr>
          <w:b/>
          <w:color w:val="333333"/>
          <w:sz w:val="24"/>
        </w:rPr>
        <w:t> Communication </w:t>
      </w:r>
      <w:r>
        <w:rPr>
          <w:b/>
          <w:color w:val="333333"/>
          <w:spacing w:val="-5"/>
          <w:sz w:val="24"/>
        </w:rPr>
        <w:t>II</w:t>
      </w:r>
    </w:p>
    <w:p>
      <w:pPr>
        <w:spacing w:before="0"/>
        <w:ind w:left="2145" w:right="0" w:firstLine="0"/>
        <w:jc w:val="left"/>
        <w:rPr>
          <w:sz w:val="24"/>
        </w:rPr>
      </w:pPr>
      <w:bookmarkStart w:name="“Et grandissima yris apparuit”. L’arc-en" w:id="17"/>
      <w:bookmarkEnd w:id="17"/>
      <w:r>
        <w:rPr/>
      </w:r>
      <w:r>
        <w:rPr>
          <w:color w:val="333333"/>
          <w:sz w:val="24"/>
        </w:rPr>
        <w:t>Angèle</w:t>
      </w:r>
      <w:r>
        <w:rPr>
          <w:color w:val="333333"/>
          <w:spacing w:val="-6"/>
          <w:sz w:val="24"/>
        </w:rPr>
        <w:t> </w:t>
      </w:r>
      <w:r>
        <w:rPr>
          <w:color w:val="333333"/>
          <w:sz w:val="24"/>
        </w:rPr>
        <w:t>Tence</w:t>
      </w:r>
      <w:r>
        <w:rPr>
          <w:color w:val="333333"/>
          <w:spacing w:val="-5"/>
          <w:sz w:val="24"/>
        </w:rPr>
        <w:t> </w:t>
      </w:r>
      <w:r>
        <w:rPr>
          <w:color w:val="333333"/>
          <w:sz w:val="24"/>
        </w:rPr>
        <w:t>(CNRS</w:t>
      </w:r>
      <w:r>
        <w:rPr>
          <w:color w:val="333333"/>
          <w:spacing w:val="-6"/>
          <w:sz w:val="24"/>
        </w:rPr>
        <w:t> </w:t>
      </w:r>
      <w:r>
        <w:rPr>
          <w:color w:val="333333"/>
          <w:sz w:val="24"/>
        </w:rPr>
        <w:t>/</w:t>
      </w:r>
      <w:r>
        <w:rPr>
          <w:color w:val="333333"/>
          <w:spacing w:val="-5"/>
          <w:sz w:val="24"/>
        </w:rPr>
        <w:t> </w:t>
      </w:r>
      <w:r>
        <w:rPr>
          <w:color w:val="333333"/>
          <w:sz w:val="24"/>
        </w:rPr>
        <w:t>Centre</w:t>
      </w:r>
      <w:r>
        <w:rPr>
          <w:color w:val="333333"/>
          <w:spacing w:val="-5"/>
          <w:sz w:val="24"/>
        </w:rPr>
        <w:t> </w:t>
      </w:r>
      <w:r>
        <w:rPr>
          <w:color w:val="333333"/>
          <w:sz w:val="24"/>
        </w:rPr>
        <w:t>André-</w:t>
      </w:r>
      <w:r>
        <w:rPr>
          <w:color w:val="333333"/>
          <w:spacing w:val="-2"/>
          <w:sz w:val="24"/>
        </w:rPr>
        <w:t>Chastel)</w:t>
      </w:r>
    </w:p>
    <w:p>
      <w:pPr>
        <w:spacing w:line="247" w:lineRule="auto" w:before="6"/>
        <w:ind w:left="2160" w:right="1123" w:firstLine="0"/>
        <w:jc w:val="left"/>
        <w:rPr>
          <w:rFonts w:ascii="Calibri" w:hAnsi="Calibri"/>
          <w:i/>
          <w:sz w:val="24"/>
        </w:rPr>
      </w:pPr>
      <w:r>
        <w:rPr>
          <w:rFonts w:ascii="Calibri" w:hAnsi="Calibri"/>
          <w:i/>
          <w:color w:val="333333"/>
          <w:w w:val="110"/>
          <w:sz w:val="24"/>
        </w:rPr>
        <w:t>“</w:t>
      </w:r>
      <w:r>
        <w:rPr>
          <w:rFonts w:ascii="Calibri" w:hAnsi="Calibri"/>
          <w:color w:val="333333"/>
          <w:w w:val="110"/>
          <w:sz w:val="24"/>
        </w:rPr>
        <w:t>Et grandissima yris apparuit</w:t>
      </w:r>
      <w:r>
        <w:rPr>
          <w:rFonts w:ascii="Calibri" w:hAnsi="Calibri"/>
          <w:i/>
          <w:color w:val="333333"/>
          <w:w w:val="110"/>
          <w:sz w:val="24"/>
        </w:rPr>
        <w:t>”. L’arc-en-ciel dans les recueils de </w:t>
      </w:r>
      <w:r>
        <w:rPr>
          <w:rFonts w:ascii="Calibri" w:hAnsi="Calibri"/>
          <w:i/>
          <w:color w:val="333333"/>
          <w:w w:val="110"/>
          <w:sz w:val="24"/>
        </w:rPr>
        <w:t>prodiges</w:t>
      </w:r>
      <w:r>
        <w:rPr>
          <w:rFonts w:ascii="Calibri" w:hAnsi="Calibri"/>
          <w:i/>
          <w:color w:val="333333"/>
          <w:w w:val="110"/>
          <w:sz w:val="24"/>
        </w:rPr>
        <w:t> d’Europe du Nord (XVI</w:t>
      </w:r>
      <w:r>
        <w:rPr>
          <w:w w:val="110"/>
          <w:position w:val="8"/>
          <w:sz w:val="13"/>
        </w:rPr>
        <w:t>e</w:t>
      </w:r>
      <w:r>
        <w:rPr>
          <w:rFonts w:ascii="Calibri" w:hAnsi="Calibri"/>
          <w:i/>
          <w:color w:val="333333"/>
          <w:w w:val="110"/>
          <w:sz w:val="24"/>
        </w:rPr>
        <w:t>-début du XVII</w:t>
      </w:r>
      <w:r>
        <w:rPr>
          <w:w w:val="110"/>
          <w:position w:val="8"/>
          <w:sz w:val="13"/>
        </w:rPr>
        <w:t>e</w:t>
      </w:r>
      <w:r>
        <w:rPr>
          <w:spacing w:val="40"/>
          <w:w w:val="110"/>
          <w:position w:val="8"/>
          <w:sz w:val="13"/>
        </w:rPr>
        <w:t> </w:t>
      </w:r>
      <w:r>
        <w:rPr>
          <w:rFonts w:ascii="Calibri" w:hAnsi="Calibri"/>
          <w:i/>
          <w:color w:val="333333"/>
          <w:w w:val="110"/>
          <w:sz w:val="24"/>
        </w:rPr>
        <w:t>siècle).</w:t>
      </w:r>
    </w:p>
    <w:p>
      <w:pPr>
        <w:pStyle w:val="BodyText"/>
        <w:spacing w:before="232"/>
        <w:rPr>
          <w:rFonts w:ascii="Calibri"/>
          <w:i/>
          <w:sz w:val="24"/>
        </w:rPr>
      </w:pPr>
    </w:p>
    <w:p>
      <w:pPr>
        <w:spacing w:before="0"/>
        <w:ind w:left="1440" w:right="0" w:firstLine="0"/>
        <w:jc w:val="left"/>
        <w:rPr>
          <w:b/>
          <w:sz w:val="24"/>
        </w:rPr>
      </w:pPr>
      <w:bookmarkStart w:name=" " w:id="18"/>
      <w:bookmarkEnd w:id="18"/>
      <w:r>
        <w:rPr/>
      </w:r>
      <w:bookmarkStart w:name="16h35 | Pause (15 min) " w:id="19"/>
      <w:bookmarkEnd w:id="19"/>
      <w:r>
        <w:rPr/>
      </w:r>
      <w:r>
        <w:rPr>
          <w:b/>
          <w:color w:val="333333"/>
          <w:sz w:val="24"/>
        </w:rPr>
        <w:t>16h35 | Pause (15 </w:t>
      </w:r>
      <w:r>
        <w:rPr>
          <w:b/>
          <w:color w:val="333333"/>
          <w:spacing w:val="-4"/>
          <w:sz w:val="24"/>
        </w:rPr>
        <w:t>min)</w:t>
      </w:r>
    </w:p>
    <w:p>
      <w:pPr>
        <w:spacing w:before="253"/>
        <w:ind w:left="2160" w:right="4337" w:hanging="720"/>
        <w:jc w:val="left"/>
        <w:rPr>
          <w:i/>
          <w:sz w:val="24"/>
        </w:rPr>
      </w:pPr>
      <w:bookmarkStart w:name="16h50 | Conférence de clôture (Keynote L" w:id="20"/>
      <w:bookmarkEnd w:id="20"/>
      <w:r>
        <w:rPr/>
      </w:r>
      <w:r>
        <w:rPr>
          <w:b/>
          <w:color w:val="333333"/>
          <w:sz w:val="24"/>
        </w:rPr>
        <w:t>16h50 </w:t>
      </w:r>
      <w:bookmarkStart w:name="Maria Loh (Institute for Advanced Study," w:id="21"/>
      <w:bookmarkEnd w:id="21"/>
      <w:r>
        <w:rPr>
          <w:b/>
          <w:color w:val="333333"/>
          <w:sz w:val="24"/>
        </w:rPr>
        <w:t>|</w:t>
      </w:r>
      <w:r>
        <w:rPr>
          <w:b/>
          <w:color w:val="333333"/>
          <w:sz w:val="24"/>
        </w:rPr>
        <w:t> Conférence de clôture (Keynote Lecture) </w:t>
      </w:r>
      <w:r>
        <w:rPr>
          <w:color w:val="333333"/>
          <w:sz w:val="24"/>
        </w:rPr>
        <w:t>Maria</w:t>
      </w:r>
      <w:r>
        <w:rPr>
          <w:color w:val="333333"/>
          <w:spacing w:val="-10"/>
          <w:sz w:val="24"/>
        </w:rPr>
        <w:t> </w:t>
      </w:r>
      <w:r>
        <w:rPr>
          <w:color w:val="333333"/>
          <w:sz w:val="24"/>
        </w:rPr>
        <w:t>Loh</w:t>
      </w:r>
      <w:r>
        <w:rPr>
          <w:color w:val="333333"/>
          <w:spacing w:val="-10"/>
          <w:sz w:val="24"/>
        </w:rPr>
        <w:t> </w:t>
      </w:r>
      <w:r>
        <w:rPr>
          <w:color w:val="333333"/>
          <w:sz w:val="24"/>
        </w:rPr>
        <w:t>(Institute</w:t>
      </w:r>
      <w:r>
        <w:rPr>
          <w:color w:val="333333"/>
          <w:spacing w:val="-10"/>
          <w:sz w:val="24"/>
        </w:rPr>
        <w:t> </w:t>
      </w:r>
      <w:r>
        <w:rPr>
          <w:color w:val="333333"/>
          <w:sz w:val="24"/>
        </w:rPr>
        <w:t>for</w:t>
      </w:r>
      <w:r>
        <w:rPr>
          <w:color w:val="333333"/>
          <w:spacing w:val="-10"/>
          <w:sz w:val="24"/>
        </w:rPr>
        <w:t> </w:t>
      </w:r>
      <w:r>
        <w:rPr>
          <w:color w:val="333333"/>
          <w:sz w:val="24"/>
        </w:rPr>
        <w:t>Advanced</w:t>
      </w:r>
      <w:r>
        <w:rPr>
          <w:color w:val="333333"/>
          <w:spacing w:val="-10"/>
          <w:sz w:val="24"/>
        </w:rPr>
        <w:t> </w:t>
      </w:r>
      <w:r>
        <w:rPr>
          <w:color w:val="333333"/>
          <w:sz w:val="24"/>
        </w:rPr>
        <w:t>Study,</w:t>
      </w:r>
      <w:r>
        <w:rPr>
          <w:color w:val="333333"/>
          <w:spacing w:val="-10"/>
          <w:sz w:val="24"/>
        </w:rPr>
        <w:t> </w:t>
      </w:r>
      <w:r>
        <w:rPr>
          <w:color w:val="333333"/>
          <w:sz w:val="24"/>
        </w:rPr>
        <w:t>Princeton) </w:t>
      </w:r>
      <w:bookmarkStart w:name="Liquid Sky " w:id="22"/>
      <w:bookmarkEnd w:id="22"/>
      <w:r>
        <w:rPr>
          <w:color w:val="333333"/>
          <w:sz w:val="24"/>
        </w:rPr>
      </w:r>
      <w:r>
        <w:rPr>
          <w:i/>
          <w:color w:val="333333"/>
          <w:sz w:val="24"/>
        </w:rPr>
        <w:t>Liquid Sky</w:t>
      </w:r>
    </w:p>
    <w:p>
      <w:pPr>
        <w:pStyle w:val="BodyText"/>
        <w:rPr>
          <w:i/>
          <w:sz w:val="24"/>
        </w:rPr>
      </w:pPr>
    </w:p>
    <w:p>
      <w:pPr>
        <w:pStyle w:val="BodyText"/>
        <w:spacing w:before="30"/>
        <w:rPr>
          <w:i/>
          <w:sz w:val="24"/>
        </w:rPr>
      </w:pPr>
    </w:p>
    <w:p>
      <w:pPr>
        <w:spacing w:before="0"/>
        <w:ind w:left="1440" w:right="0" w:firstLine="0"/>
        <w:jc w:val="left"/>
        <w:rPr>
          <w:b/>
          <w:sz w:val="24"/>
        </w:rPr>
      </w:pPr>
      <w:bookmarkStart w:name="17h50 | Discussion finale   " w:id="23"/>
      <w:bookmarkEnd w:id="23"/>
      <w:r>
        <w:rPr/>
      </w:r>
      <w:r>
        <w:rPr>
          <w:b/>
          <w:color w:val="333333"/>
          <w:sz w:val="24"/>
        </w:rPr>
        <w:t>17h50 </w:t>
      </w:r>
      <w:bookmarkStart w:name="Panel de répondants :  " w:id="24"/>
      <w:bookmarkEnd w:id="24"/>
      <w:r>
        <w:rPr>
          <w:b/>
          <w:color w:val="333333"/>
          <w:sz w:val="24"/>
        </w:rPr>
        <w:t>|</w:t>
      </w:r>
      <w:r>
        <w:rPr>
          <w:b/>
          <w:color w:val="333333"/>
          <w:sz w:val="24"/>
        </w:rPr>
        <w:t> Discussion </w:t>
      </w:r>
      <w:r>
        <w:rPr>
          <w:b/>
          <w:color w:val="333333"/>
          <w:spacing w:val="-2"/>
          <w:sz w:val="24"/>
        </w:rPr>
        <w:t>finale</w:t>
      </w:r>
    </w:p>
    <w:p>
      <w:pPr>
        <w:spacing w:before="0"/>
        <w:ind w:left="2160" w:right="0" w:firstLine="0"/>
        <w:jc w:val="left"/>
        <w:rPr>
          <w:sz w:val="24"/>
        </w:rPr>
      </w:pPr>
      <w:bookmarkStart w:name="Matthieu Gounelle (Muséum national d’his" w:id="25"/>
      <w:bookmarkEnd w:id="25"/>
      <w:r>
        <w:rPr/>
      </w:r>
      <w:r>
        <w:rPr>
          <w:color w:val="333333"/>
          <w:sz w:val="24"/>
        </w:rPr>
        <w:t>Panel de répondants </w:t>
      </w:r>
      <w:r>
        <w:rPr>
          <w:color w:val="333333"/>
          <w:spacing w:val="-10"/>
          <w:sz w:val="24"/>
        </w:rPr>
        <w:t>:</w:t>
      </w:r>
    </w:p>
    <w:p>
      <w:pPr>
        <w:spacing w:before="0"/>
        <w:ind w:left="2715" w:right="0" w:firstLine="0"/>
        <w:jc w:val="left"/>
        <w:rPr>
          <w:sz w:val="24"/>
        </w:rPr>
      </w:pPr>
      <w:r>
        <w:rPr>
          <w:color w:val="333333"/>
          <w:sz w:val="24"/>
        </w:rPr>
        <w:t>Matthieu Gounelle (Muséum national d’histoire </w:t>
      </w:r>
      <w:r>
        <w:rPr>
          <w:color w:val="333333"/>
          <w:spacing w:val="-2"/>
          <w:sz w:val="24"/>
        </w:rPr>
        <w:t>naturelle)</w:t>
      </w:r>
    </w:p>
    <w:p>
      <w:pPr>
        <w:spacing w:before="0"/>
        <w:ind w:left="2715" w:right="1123" w:firstLine="0"/>
        <w:jc w:val="left"/>
        <w:rPr>
          <w:sz w:val="24"/>
        </w:rPr>
      </w:pPr>
      <w:r>
        <w:rPr>
          <w:color w:val="333333"/>
          <w:sz w:val="24"/>
        </w:rPr>
        <w:t>Isabelle</w:t>
      </w:r>
      <w:r>
        <w:rPr>
          <w:color w:val="333333"/>
          <w:spacing w:val="-4"/>
          <w:sz w:val="24"/>
        </w:rPr>
        <w:t> </w:t>
      </w:r>
      <w:r>
        <w:rPr>
          <w:color w:val="333333"/>
          <w:sz w:val="24"/>
        </w:rPr>
        <w:t>Draelants</w:t>
      </w:r>
      <w:r>
        <w:rPr>
          <w:color w:val="333333"/>
          <w:spacing w:val="-4"/>
          <w:sz w:val="24"/>
        </w:rPr>
        <w:t> </w:t>
      </w:r>
      <w:r>
        <w:rPr>
          <w:color w:val="333333"/>
          <w:sz w:val="24"/>
        </w:rPr>
        <w:t>(CNRS</w:t>
      </w:r>
      <w:r>
        <w:rPr>
          <w:color w:val="333333"/>
          <w:spacing w:val="-4"/>
          <w:sz w:val="24"/>
        </w:rPr>
        <w:t> </w:t>
      </w:r>
      <w:r>
        <w:rPr>
          <w:color w:val="333333"/>
          <w:sz w:val="24"/>
        </w:rPr>
        <w:t>/</w:t>
      </w:r>
      <w:r>
        <w:rPr>
          <w:color w:val="333333"/>
          <w:spacing w:val="-4"/>
          <w:sz w:val="24"/>
        </w:rPr>
        <w:t> </w:t>
      </w:r>
      <w:r>
        <w:rPr>
          <w:color w:val="333333"/>
          <w:sz w:val="24"/>
        </w:rPr>
        <w:t>Institut</w:t>
      </w:r>
      <w:r>
        <w:rPr>
          <w:color w:val="333333"/>
          <w:spacing w:val="-4"/>
          <w:sz w:val="24"/>
        </w:rPr>
        <w:t> </w:t>
      </w:r>
      <w:r>
        <w:rPr>
          <w:color w:val="333333"/>
          <w:sz w:val="24"/>
        </w:rPr>
        <w:t>de</w:t>
      </w:r>
      <w:r>
        <w:rPr>
          <w:color w:val="333333"/>
          <w:spacing w:val="-4"/>
          <w:sz w:val="24"/>
        </w:rPr>
        <w:t> </w:t>
      </w:r>
      <w:r>
        <w:rPr>
          <w:color w:val="333333"/>
          <w:sz w:val="24"/>
        </w:rPr>
        <w:t>recherche</w:t>
      </w:r>
      <w:r>
        <w:rPr>
          <w:color w:val="333333"/>
          <w:spacing w:val="-4"/>
          <w:sz w:val="24"/>
        </w:rPr>
        <w:t> </w:t>
      </w:r>
      <w:r>
        <w:rPr>
          <w:color w:val="333333"/>
          <w:sz w:val="24"/>
        </w:rPr>
        <w:t>et</w:t>
      </w:r>
      <w:r>
        <w:rPr>
          <w:color w:val="333333"/>
          <w:spacing w:val="-4"/>
          <w:sz w:val="24"/>
        </w:rPr>
        <w:t> </w:t>
      </w:r>
      <w:r>
        <w:rPr>
          <w:color w:val="333333"/>
          <w:sz w:val="24"/>
        </w:rPr>
        <w:t>d'histoire</w:t>
      </w:r>
      <w:r>
        <w:rPr>
          <w:color w:val="333333"/>
          <w:spacing w:val="-4"/>
          <w:sz w:val="24"/>
        </w:rPr>
        <w:t> </w:t>
      </w:r>
      <w:r>
        <w:rPr>
          <w:color w:val="333333"/>
          <w:sz w:val="24"/>
        </w:rPr>
        <w:t>des</w:t>
      </w:r>
      <w:r>
        <w:rPr>
          <w:color w:val="333333"/>
          <w:spacing w:val="-4"/>
          <w:sz w:val="24"/>
        </w:rPr>
        <w:t> </w:t>
      </w:r>
      <w:r>
        <w:rPr>
          <w:color w:val="333333"/>
          <w:sz w:val="24"/>
        </w:rPr>
        <w:t>textes) Philippe Morel (Université Paris 1 Panthéon-Sorbonne)</w:t>
      </w:r>
    </w:p>
    <w:p>
      <w:pPr>
        <w:pStyle w:val="BodyText"/>
        <w:rPr>
          <w:sz w:val="24"/>
        </w:rPr>
      </w:pPr>
    </w:p>
    <w:p>
      <w:pPr>
        <w:spacing w:before="0"/>
        <w:ind w:left="1440" w:right="0" w:firstLine="0"/>
        <w:jc w:val="left"/>
        <w:rPr>
          <w:b/>
          <w:sz w:val="24"/>
        </w:rPr>
      </w:pPr>
      <w:bookmarkStart w:name="18h30 | Fin des travaux " w:id="26"/>
      <w:bookmarkEnd w:id="26"/>
      <w:r>
        <w:rPr/>
      </w:r>
      <w:r>
        <w:rPr>
          <w:b/>
          <w:color w:val="333333"/>
          <w:sz w:val="24"/>
        </w:rPr>
        <w:t>18h30 | Fin des </w:t>
      </w:r>
      <w:r>
        <w:rPr>
          <w:b/>
          <w:color w:val="333333"/>
          <w:spacing w:val="-2"/>
          <w:sz w:val="24"/>
        </w:rPr>
        <w:t>travaux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96"/>
        <w:rPr>
          <w:b/>
          <w:sz w:val="24"/>
        </w:rPr>
      </w:pPr>
    </w:p>
    <w:p>
      <w:pPr>
        <w:pStyle w:val="BodyText"/>
        <w:ind w:left="1440" w:right="1617"/>
        <w:jc w:val="both"/>
      </w:pPr>
      <w:bookmarkStart w:name=" " w:id="27"/>
      <w:bookmarkEnd w:id="27"/>
      <w:r>
        <w:rPr/>
      </w:r>
      <w:r>
        <w:rPr/>
        <w:t>Cette</w:t>
      </w:r>
      <w:r>
        <w:rPr>
          <w:spacing w:val="-4"/>
        </w:rPr>
        <w:t> </w:t>
      </w:r>
      <w:r>
        <w:rPr/>
        <w:t>demi-journée</w:t>
      </w:r>
      <w:r>
        <w:rPr>
          <w:spacing w:val="-4"/>
        </w:rPr>
        <w:t> </w:t>
      </w:r>
      <w:r>
        <w:rPr/>
        <w:t>d’études</w:t>
      </w:r>
      <w:r>
        <w:rPr>
          <w:spacing w:val="-4"/>
        </w:rPr>
        <w:t> </w:t>
      </w:r>
      <w:r>
        <w:rPr/>
        <w:t>est</w:t>
      </w:r>
      <w:r>
        <w:rPr>
          <w:spacing w:val="-4"/>
        </w:rPr>
        <w:t> </w:t>
      </w:r>
      <w:r>
        <w:rPr/>
        <w:t>organisée</w:t>
      </w:r>
      <w:r>
        <w:rPr>
          <w:spacing w:val="-4"/>
        </w:rPr>
        <w:t> </w:t>
      </w:r>
      <w:r>
        <w:rPr/>
        <w:t>dans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cadre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Chaire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Professeur</w:t>
      </w:r>
      <w:r>
        <w:rPr>
          <w:spacing w:val="-4"/>
        </w:rPr>
        <w:t> </w:t>
      </w:r>
      <w:r>
        <w:rPr/>
        <w:t>Junior CNRS</w:t>
      </w:r>
      <w:r>
        <w:rPr>
          <w:spacing w:val="-5"/>
        </w:rPr>
        <w:t> </w:t>
      </w:r>
      <w:r>
        <w:rPr/>
        <w:t>ARVIGRAPH</w:t>
      </w:r>
      <w:r>
        <w:rPr>
          <w:spacing w:val="-5"/>
        </w:rPr>
        <w:t> </w:t>
      </w:r>
      <w:r>
        <w:rPr/>
        <w:t>(dir.</w:t>
      </w:r>
      <w:r>
        <w:rPr>
          <w:spacing w:val="-5"/>
        </w:rPr>
        <w:t> </w:t>
      </w:r>
      <w:r>
        <w:rPr/>
        <w:t>Florian</w:t>
      </w:r>
      <w:r>
        <w:rPr>
          <w:spacing w:val="-5"/>
        </w:rPr>
        <w:t> </w:t>
      </w:r>
      <w:r>
        <w:rPr/>
        <w:t>Métral),</w:t>
      </w:r>
      <w:r>
        <w:rPr>
          <w:spacing w:val="-5"/>
        </w:rPr>
        <w:t> </w:t>
      </w:r>
      <w:r>
        <w:rPr/>
        <w:t>rattachée</w:t>
      </w:r>
      <w:r>
        <w:rPr>
          <w:spacing w:val="-5"/>
        </w:rPr>
        <w:t> </w:t>
      </w:r>
      <w:r>
        <w:rPr/>
        <w:t>au</w:t>
      </w:r>
      <w:r>
        <w:rPr>
          <w:spacing w:val="-5"/>
        </w:rPr>
        <w:t> </w:t>
      </w:r>
      <w:r>
        <w:rPr/>
        <w:t>Centre</w:t>
      </w:r>
      <w:r>
        <w:rPr>
          <w:spacing w:val="-5"/>
        </w:rPr>
        <w:t> </w:t>
      </w:r>
      <w:r>
        <w:rPr/>
        <w:t>André-Chastel.</w:t>
      </w:r>
      <w:r>
        <w:rPr>
          <w:spacing w:val="-5"/>
        </w:rPr>
        <w:t> </w:t>
      </w:r>
      <w:r>
        <w:rPr>
          <w:color w:val="000000"/>
          <w:highlight w:val="yellow"/>
        </w:rPr>
        <w:t>Elle</w:t>
      </w:r>
      <w:r>
        <w:rPr>
          <w:color w:val="000000"/>
          <w:spacing w:val="-5"/>
          <w:highlight w:val="yellow"/>
        </w:rPr>
        <w:t> </w:t>
      </w:r>
      <w:r>
        <w:rPr>
          <w:color w:val="000000"/>
          <w:highlight w:val="yellow"/>
        </w:rPr>
        <w:t>bénéficie</w:t>
      </w:r>
      <w:r>
        <w:rPr>
          <w:color w:val="000000"/>
        </w:rPr>
        <w:t> </w:t>
      </w:r>
      <w:r>
        <w:rPr>
          <w:color w:val="000000"/>
          <w:highlight w:val="yellow"/>
        </w:rPr>
        <w:t>également du soutien du PEPR Origins et de l’Insitut Cosmos (Sorbonne Université).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823098</wp:posOffset>
            </wp:positionH>
            <wp:positionV relativeFrom="paragraph">
              <wp:posOffset>260057</wp:posOffset>
            </wp:positionV>
            <wp:extent cx="753576" cy="654843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576" cy="654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1653145</wp:posOffset>
            </wp:positionH>
            <wp:positionV relativeFrom="paragraph">
              <wp:posOffset>309680</wp:posOffset>
            </wp:positionV>
            <wp:extent cx="1159184" cy="545401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184" cy="545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2858923</wp:posOffset>
            </wp:positionH>
            <wp:positionV relativeFrom="paragraph">
              <wp:posOffset>419857</wp:posOffset>
            </wp:positionV>
            <wp:extent cx="792945" cy="278701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945" cy="278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3724275</wp:posOffset>
            </wp:positionH>
            <wp:positionV relativeFrom="paragraph">
              <wp:posOffset>304855</wp:posOffset>
            </wp:positionV>
            <wp:extent cx="675142" cy="657606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142" cy="657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4591050</wp:posOffset>
            </wp:positionH>
            <wp:positionV relativeFrom="paragraph">
              <wp:posOffset>238180</wp:posOffset>
            </wp:positionV>
            <wp:extent cx="873550" cy="641223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550" cy="641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5610225</wp:posOffset>
            </wp:positionH>
            <wp:positionV relativeFrom="paragraph">
              <wp:posOffset>409630</wp:posOffset>
            </wp:positionV>
            <wp:extent cx="1579978" cy="513969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978" cy="513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3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60"/>
      <w:ind w:left="1440"/>
      <w:outlineLvl w:val="1"/>
    </w:pPr>
    <w:rPr>
      <w:rFonts w:ascii="Arial" w:hAnsi="Arial" w:eastAsia="Arial" w:cs="Arial"/>
      <w:b/>
      <w:bCs/>
      <w:sz w:val="32"/>
      <w:szCs w:val="32"/>
      <w:lang w:val="fr-FR" w:eastAsia="en-US" w:bidi="ar-SA"/>
    </w:rPr>
  </w:style>
  <w:style w:styleId="Heading2" w:type="paragraph">
    <w:name w:val="Heading 2"/>
    <w:basedOn w:val="Normal"/>
    <w:uiPriority w:val="1"/>
    <w:qFormat/>
    <w:pPr>
      <w:ind w:left="2160"/>
      <w:outlineLvl w:val="2"/>
    </w:pPr>
    <w:rPr>
      <w:rFonts w:ascii="Arial" w:hAnsi="Arial" w:eastAsia="Arial" w:cs="Arial"/>
      <w:i/>
      <w:iCs/>
      <w:sz w:val="24"/>
      <w:szCs w:val="24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Lundi 11 mai - 14h-19h - Demi-journée d'études Culture visuelle du cosmos</dc:title>
  <dcterms:created xsi:type="dcterms:W3CDTF">2026-04-29T15:14:12Z</dcterms:created>
  <dcterms:modified xsi:type="dcterms:W3CDTF">2026-04-29T15:14:12Z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2026-04-29T00:00:00Z</vt:filetime>
  </property>
  <property fmtid="{D5CDD505-2E9C-101B-9397-08002B2CF9AE}" pid="3" name="Producer">
    <vt:lpwstr>Skia/PDF m149 Google Docs Renderer</vt:lpwstr>
  </property>
  <property fmtid="{D5CDD505-2E9C-101B-9397-08002B2CF9AE}" pid="4" name="LastSaved">
    <vt:filetime>2026-04-29T00:00:00Z</vt:filetime>
  </property>
</Properties>
</file>