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1B50" w14:textId="77777777" w:rsidR="008A2576" w:rsidRDefault="00000000">
      <w:pPr>
        <w:jc w:val="center"/>
        <w:rPr>
          <w:sz w:val="48"/>
          <w:szCs w:val="48"/>
        </w:rPr>
      </w:pPr>
      <w:r>
        <w:rPr>
          <w:rFonts w:ascii="Helvetica Neue" w:eastAsia="Helvetica Neue" w:hAnsi="Helvetica Neue" w:cs="Helvetica Neue"/>
          <w:b/>
          <w:bCs/>
          <w:sz w:val="52"/>
          <w:szCs w:val="52"/>
        </w:rPr>
        <w:t>Dark-hole correction and maintenance in polychromatic light</w:t>
      </w:r>
    </w:p>
    <w:p w14:paraId="3C4AA707" w14:textId="77777777" w:rsidR="008A2576" w:rsidRDefault="008A2576">
      <w:pPr>
        <w:jc w:val="both"/>
        <w:rPr>
          <w:rFonts w:ascii="Helvetica Neue" w:eastAsia="Helvetica Neue" w:hAnsi="Helvetica Neue" w:cs="Helvetica Neue"/>
          <w:b/>
          <w:bCs/>
        </w:rPr>
      </w:pPr>
    </w:p>
    <w:p w14:paraId="16F67EA7" w14:textId="77777777" w:rsidR="008A2576" w:rsidRDefault="00000000">
      <w:pPr>
        <w:jc w:val="both"/>
        <w:rPr>
          <w:rFonts w:ascii="Helvetica Neue" w:eastAsia="Helvetica Neue" w:hAnsi="Helvetica Neue" w:cs="Helvetica Neue"/>
        </w:rPr>
      </w:pPr>
      <w:r>
        <w:rPr>
          <w:rFonts w:ascii="Helvetica Neue" w:eastAsia="Helvetica Neue" w:hAnsi="Helvetica Neue" w:cs="Helvetica Neue"/>
          <w:b/>
          <w:bCs/>
        </w:rPr>
        <w:t>Location:</w:t>
      </w:r>
      <w:r>
        <w:rPr>
          <w:rFonts w:ascii="Helvetica Neue" w:eastAsia="Helvetica Neue" w:hAnsi="Helvetica Neue" w:cs="Helvetica Neue"/>
        </w:rPr>
        <w:t xml:space="preserve"> </w:t>
      </w:r>
    </w:p>
    <w:p w14:paraId="09658E9C" w14:textId="77777777" w:rsidR="008A2576" w:rsidRPr="0048083C" w:rsidRDefault="00000000">
      <w:pPr>
        <w:numPr>
          <w:ilvl w:val="0"/>
          <w:numId w:val="3"/>
        </w:numPr>
        <w:jc w:val="both"/>
        <w:rPr>
          <w:rFonts w:ascii="Helvetica Neue" w:eastAsia="Helvetica Neue" w:hAnsi="Helvetica Neue" w:cs="Helvetica Neue"/>
          <w:lang w:val="fr-FR"/>
        </w:rPr>
      </w:pPr>
      <w:r w:rsidRPr="0048083C">
        <w:rPr>
          <w:rFonts w:ascii="Helvetica Neue" w:eastAsia="Helvetica Neue" w:hAnsi="Helvetica Neue" w:cs="Helvetica Neue"/>
          <w:lang w:val="fr-FR"/>
        </w:rPr>
        <w:t>Laboratoire d’Astrophysique de Marseille (LAM), Marseille, France</w:t>
      </w:r>
    </w:p>
    <w:p w14:paraId="181CA428" w14:textId="77777777" w:rsidR="008A2576" w:rsidRDefault="00000000">
      <w:pPr>
        <w:numPr>
          <w:ilvl w:val="0"/>
          <w:numId w:val="3"/>
        </w:numPr>
        <w:jc w:val="both"/>
        <w:rPr>
          <w:rFonts w:ascii="Helvetica Neue" w:eastAsia="Helvetica Neue" w:hAnsi="Helvetica Neue" w:cs="Helvetica Neue"/>
        </w:rPr>
      </w:pPr>
      <w:r>
        <w:rPr>
          <w:rFonts w:ascii="Helvetica Neue" w:eastAsia="Helvetica Neue" w:hAnsi="Helvetica Neue" w:cs="Helvetica Neue"/>
        </w:rPr>
        <w:t xml:space="preserve">Laboratory for Instrumentation and Research in Astrophysics (LIRA), </w:t>
      </w:r>
      <w:proofErr w:type="spellStart"/>
      <w:r>
        <w:rPr>
          <w:rFonts w:ascii="Helvetica Neue" w:eastAsia="Helvetica Neue" w:hAnsi="Helvetica Neue" w:cs="Helvetica Neue"/>
        </w:rPr>
        <w:t>Meudon</w:t>
      </w:r>
      <w:proofErr w:type="spellEnd"/>
      <w:r>
        <w:rPr>
          <w:rFonts w:ascii="Helvetica Neue" w:eastAsia="Helvetica Neue" w:hAnsi="Helvetica Neue" w:cs="Helvetica Neue"/>
        </w:rPr>
        <w:t>, France</w:t>
      </w:r>
    </w:p>
    <w:p w14:paraId="1DD24FD3" w14:textId="77777777" w:rsidR="008A2576" w:rsidRDefault="008A2576">
      <w:pPr>
        <w:jc w:val="both"/>
        <w:rPr>
          <w:rFonts w:ascii="Helvetica Neue" w:eastAsia="Helvetica Neue" w:hAnsi="Helvetica Neue" w:cs="Helvetica Neue"/>
        </w:rPr>
      </w:pPr>
    </w:p>
    <w:p w14:paraId="284D1B75" w14:textId="77777777" w:rsidR="008A2576" w:rsidRDefault="00000000">
      <w:pPr>
        <w:jc w:val="both"/>
        <w:rPr>
          <w:rFonts w:ascii="Helvetica Neue" w:eastAsia="Helvetica Neue" w:hAnsi="Helvetica Neue" w:cs="Helvetica Neue"/>
        </w:rPr>
      </w:pPr>
      <w:r>
        <w:rPr>
          <w:rFonts w:ascii="Helvetica Neue" w:eastAsia="Helvetica Neue" w:hAnsi="Helvetica Neue" w:cs="Helvetica Neue"/>
          <w:b/>
          <w:bCs/>
        </w:rPr>
        <w:t>Funding:</w:t>
      </w:r>
      <w:r>
        <w:rPr>
          <w:rFonts w:ascii="Helvetica Neue" w:eastAsia="Helvetica Neue" w:hAnsi="Helvetica Neue" w:cs="Helvetica Neue"/>
        </w:rPr>
        <w:t xml:space="preserve"> AMINO (Advanced Multi-spectral Imaging using Novel wavefront sensors with Optical photon-counting detectors), a target project from the PEPR Origins under France 2030 fundings managed by ANR - </w:t>
      </w:r>
      <w:r>
        <w:rPr>
          <w:rFonts w:ascii="Helvetica Neue" w:eastAsia="Helvetica Neue" w:hAnsi="Helvetica Neue" w:cs="Helvetica Neue"/>
          <w:b/>
          <w:bCs/>
        </w:rPr>
        <w:t>This postdoc position is fully funded.</w:t>
      </w:r>
    </w:p>
    <w:p w14:paraId="31232E1F" w14:textId="77777777" w:rsidR="008A2576" w:rsidRDefault="008A2576">
      <w:pPr>
        <w:jc w:val="both"/>
        <w:rPr>
          <w:rFonts w:ascii="Helvetica Neue" w:eastAsia="Helvetica Neue" w:hAnsi="Helvetica Neue" w:cs="Helvetica Neue"/>
          <w:b/>
          <w:bCs/>
        </w:rPr>
      </w:pPr>
    </w:p>
    <w:p w14:paraId="2DAD3434" w14:textId="6FAB249A" w:rsidR="008A2576" w:rsidRDefault="00000000">
      <w:pPr>
        <w:jc w:val="both"/>
        <w:rPr>
          <w:rFonts w:ascii="Helvetica Neue" w:eastAsia="Helvetica Neue" w:hAnsi="Helvetica Neue" w:cs="Helvetica Neue"/>
          <w:b/>
          <w:bCs/>
        </w:rPr>
      </w:pPr>
      <w:r>
        <w:rPr>
          <w:rFonts w:ascii="Helvetica Neue" w:eastAsia="Helvetica Neue" w:hAnsi="Helvetica Neue" w:cs="Helvetica Neue"/>
          <w:b/>
          <w:bCs/>
        </w:rPr>
        <w:t xml:space="preserve">Starting date: </w:t>
      </w:r>
      <w:r>
        <w:rPr>
          <w:rFonts w:ascii="Helvetica Neue" w:eastAsia="Helvetica Neue" w:hAnsi="Helvetica Neue" w:cs="Helvetica Neue"/>
        </w:rPr>
        <w:t xml:space="preserve">From </w:t>
      </w:r>
      <w:r w:rsidR="003D37E8">
        <w:rPr>
          <w:rFonts w:ascii="Helvetica Neue" w:eastAsia="Helvetica Neue" w:hAnsi="Helvetica Neue" w:cs="Helvetica Neue"/>
        </w:rPr>
        <w:t>O</w:t>
      </w:r>
      <w:r>
        <w:rPr>
          <w:rFonts w:ascii="Helvetica Neue" w:eastAsia="Helvetica Neue" w:hAnsi="Helvetica Neue" w:cs="Helvetica Neue"/>
        </w:rPr>
        <w:t>ctober 2026</w:t>
      </w:r>
    </w:p>
    <w:p w14:paraId="68B879AB" w14:textId="77777777" w:rsidR="008A2576" w:rsidRDefault="00000000">
      <w:pPr>
        <w:jc w:val="both"/>
        <w:rPr>
          <w:rFonts w:ascii="Helvetica Neue" w:eastAsia="Helvetica Neue" w:hAnsi="Helvetica Neue" w:cs="Helvetica Neue"/>
        </w:rPr>
      </w:pPr>
      <w:r>
        <w:rPr>
          <w:rFonts w:ascii="Helvetica Neue" w:eastAsia="Helvetica Neue" w:hAnsi="Helvetica Neue" w:cs="Helvetica Neue"/>
          <w:b/>
          <w:bCs/>
        </w:rPr>
        <w:t>Duration:</w:t>
      </w:r>
      <w:r>
        <w:rPr>
          <w:rFonts w:ascii="Helvetica Neue" w:eastAsia="Helvetica Neue" w:hAnsi="Helvetica Neue" w:cs="Helvetica Neue"/>
        </w:rPr>
        <w:t xml:space="preserve"> 1 + 1 years</w:t>
      </w:r>
    </w:p>
    <w:p w14:paraId="0820799B" w14:textId="77777777" w:rsidR="008A2576" w:rsidRDefault="008A2576">
      <w:pPr>
        <w:jc w:val="both"/>
        <w:rPr>
          <w:rFonts w:ascii="Helvetica Neue" w:eastAsia="Helvetica Neue" w:hAnsi="Helvetica Neue" w:cs="Helvetica Neue"/>
        </w:rPr>
      </w:pPr>
    </w:p>
    <w:p w14:paraId="60E5D2AC" w14:textId="77777777" w:rsidR="008A2576" w:rsidRDefault="00000000">
      <w:pPr>
        <w:jc w:val="both"/>
        <w:rPr>
          <w:rFonts w:ascii="Helvetica Neue" w:eastAsia="Helvetica Neue" w:hAnsi="Helvetica Neue" w:cs="Helvetica Neue"/>
        </w:rPr>
      </w:pPr>
      <w:r>
        <w:rPr>
          <w:rFonts w:ascii="Helvetica Neue" w:eastAsia="Helvetica Neue" w:hAnsi="Helvetica Neue" w:cs="Helvetica Neue"/>
          <w:b/>
          <w:bCs/>
        </w:rPr>
        <w:t xml:space="preserve">Supervisors: </w:t>
      </w:r>
    </w:p>
    <w:p w14:paraId="6BD0067E" w14:textId="77777777" w:rsidR="008A2576" w:rsidRDefault="00000000">
      <w:pPr>
        <w:numPr>
          <w:ilvl w:val="0"/>
          <w:numId w:val="2"/>
        </w:numPr>
        <w:jc w:val="both"/>
        <w:rPr>
          <w:rFonts w:ascii="Helvetica Neue" w:eastAsia="Helvetica Neue" w:hAnsi="Helvetica Neue" w:cs="Helvetica Neue"/>
        </w:rPr>
      </w:pPr>
      <w:r>
        <w:rPr>
          <w:rFonts w:ascii="Helvetica Neue" w:eastAsia="Helvetica Neue" w:hAnsi="Helvetica Neue" w:cs="Helvetica Neue"/>
        </w:rPr>
        <w:t>Arthur Vigan (LAM / CNRS)</w:t>
      </w:r>
    </w:p>
    <w:p w14:paraId="26961333" w14:textId="77777777" w:rsidR="008A2576" w:rsidRPr="0048083C" w:rsidRDefault="00000000">
      <w:pPr>
        <w:numPr>
          <w:ilvl w:val="0"/>
          <w:numId w:val="2"/>
        </w:numPr>
        <w:jc w:val="both"/>
        <w:rPr>
          <w:rFonts w:ascii="Helvetica Neue" w:eastAsia="Helvetica Neue" w:hAnsi="Helvetica Neue" w:cs="Helvetica Neue"/>
          <w:lang w:val="fr-FR"/>
        </w:rPr>
      </w:pPr>
      <w:r w:rsidRPr="0048083C">
        <w:rPr>
          <w:rFonts w:ascii="Helvetica Neue" w:eastAsia="Helvetica Neue" w:hAnsi="Helvetica Neue" w:cs="Helvetica Neue"/>
          <w:lang w:val="fr-FR"/>
        </w:rPr>
        <w:t>Axel Potier (LIRA / Université Paris-Cité)</w:t>
      </w:r>
    </w:p>
    <w:p w14:paraId="666B55EE" w14:textId="77777777" w:rsidR="008A2576" w:rsidRPr="0048083C" w:rsidRDefault="008A2576">
      <w:pPr>
        <w:rPr>
          <w:rFonts w:ascii="Helvetica Neue" w:eastAsia="Helvetica Neue" w:hAnsi="Helvetica Neue" w:cs="Helvetica Neue"/>
          <w:lang w:val="fr-FR"/>
        </w:rPr>
      </w:pPr>
    </w:p>
    <w:p w14:paraId="3ECC7376" w14:textId="77777777" w:rsidR="008A2576" w:rsidRPr="0048083C" w:rsidRDefault="00000000">
      <w:pPr>
        <w:jc w:val="both"/>
        <w:rPr>
          <w:rFonts w:ascii="Helvetica Neue" w:eastAsia="Helvetica Neue" w:hAnsi="Helvetica Neue" w:cs="Helvetica Neue"/>
          <w:lang w:val="fr-FR"/>
        </w:rPr>
      </w:pPr>
      <w:proofErr w:type="spellStart"/>
      <w:proofErr w:type="gramStart"/>
      <w:r w:rsidRPr="0048083C">
        <w:rPr>
          <w:rFonts w:ascii="Helvetica Neue" w:eastAsia="Helvetica Neue" w:hAnsi="Helvetica Neue" w:cs="Helvetica Neue"/>
          <w:b/>
          <w:bCs/>
          <w:lang w:val="fr-FR"/>
        </w:rPr>
        <w:t>Collaborators</w:t>
      </w:r>
      <w:proofErr w:type="spellEnd"/>
      <w:r w:rsidRPr="0048083C">
        <w:rPr>
          <w:rFonts w:ascii="Helvetica Neue" w:eastAsia="Helvetica Neue" w:hAnsi="Helvetica Neue" w:cs="Helvetica Neue"/>
          <w:b/>
          <w:bCs/>
          <w:lang w:val="fr-FR"/>
        </w:rPr>
        <w:t>:</w:t>
      </w:r>
      <w:proofErr w:type="gramEnd"/>
      <w:r w:rsidRPr="0048083C">
        <w:rPr>
          <w:rFonts w:ascii="Helvetica Neue" w:eastAsia="Helvetica Neue" w:hAnsi="Helvetica Neue" w:cs="Helvetica Neue"/>
          <w:lang w:val="fr-FR"/>
        </w:rPr>
        <w:t xml:space="preserve"> Johan Mazoyer, Pierre Baudoz, Moustapha Dekkali, Raphaël Galicher (LIRA/Observatoire de Paris), Faouzi Boussaha, Christine Chaumont (LUX/Observatoire de Paris), Vincent Chambouleyron, Kjetil Dohlen (LAM), Mamadou N’Diaye, Iva Laginja (Lagrange/OCA)</w:t>
      </w:r>
    </w:p>
    <w:p w14:paraId="44765434" w14:textId="77777777" w:rsidR="008A2576" w:rsidRPr="0048083C" w:rsidRDefault="008A2576">
      <w:pPr>
        <w:jc w:val="both"/>
        <w:rPr>
          <w:rFonts w:ascii="Helvetica Neue" w:eastAsia="Helvetica Neue" w:hAnsi="Helvetica Neue" w:cs="Helvetica Neue"/>
          <w:b/>
          <w:bCs/>
          <w:lang w:val="fr-FR"/>
        </w:rPr>
      </w:pPr>
    </w:p>
    <w:p w14:paraId="0A891CAB" w14:textId="77777777" w:rsidR="008A2576" w:rsidRDefault="00000000">
      <w:pPr>
        <w:jc w:val="both"/>
        <w:rPr>
          <w:rFonts w:ascii="Helvetica Neue" w:eastAsia="Helvetica Neue" w:hAnsi="Helvetica Neue" w:cs="Helvetica Neue"/>
          <w:color w:val="FF0000"/>
        </w:rPr>
      </w:pPr>
      <w:r>
        <w:rPr>
          <w:rFonts w:ascii="Helvetica Neue" w:eastAsia="Helvetica Neue" w:hAnsi="Helvetica Neue" w:cs="Helvetica Neue"/>
          <w:b/>
          <w:bCs/>
        </w:rPr>
        <w:t>Context:</w:t>
      </w:r>
      <w:r>
        <w:rPr>
          <w:rFonts w:ascii="Helvetica Neue" w:eastAsia="Helvetica Neue" w:hAnsi="Helvetica Neue" w:cs="Helvetica Neue"/>
        </w:rPr>
        <w:t xml:space="preserve"> Over the past three decades, the discovery of nearly 6000 exoplanets has revealed an extraordinary diversity in planetary systems. Direct imaging —particularly coronagraphy—has emerged as one of the most promising methods for detecting and characterizing exoplanets in the habitable zone (HZ) of their host star. Such an approach is envisioned in future large facilities, e.g., NASA’s </w:t>
      </w:r>
      <w:r>
        <w:rPr>
          <w:rFonts w:ascii="Helvetica Neue" w:eastAsia="Helvetica Neue" w:hAnsi="Helvetica Neue" w:cs="Helvetica Neue"/>
          <w:b/>
          <w:bCs/>
        </w:rPr>
        <w:t>Habitable Worlds Observatory (HWO) in space</w:t>
      </w:r>
      <w:r>
        <w:rPr>
          <w:rFonts w:ascii="Helvetica Neue" w:eastAsia="Helvetica Neue" w:hAnsi="Helvetica Neue" w:cs="Helvetica Neue"/>
        </w:rPr>
        <w:t xml:space="preserve"> and ESO’s </w:t>
      </w:r>
      <w:r>
        <w:rPr>
          <w:rFonts w:ascii="Helvetica Neue" w:eastAsia="Helvetica Neue" w:hAnsi="Helvetica Neue" w:cs="Helvetica Neue"/>
          <w:b/>
          <w:bCs/>
        </w:rPr>
        <w:t xml:space="preserve">Extremely Large Telescope (ELT) </w:t>
      </w:r>
      <w:r>
        <w:rPr>
          <w:rFonts w:ascii="Helvetica Neue" w:eastAsia="Helvetica Neue" w:hAnsi="Helvetica Neue" w:cs="Helvetica Neue"/>
        </w:rPr>
        <w:t xml:space="preserve">with the Planetary Camera and Spectrograph (PCS) </w:t>
      </w:r>
      <w:r>
        <w:rPr>
          <w:rFonts w:ascii="Helvetica Neue" w:eastAsia="Helvetica Neue" w:hAnsi="Helvetica Neue" w:cs="Helvetica Neue"/>
          <w:b/>
          <w:bCs/>
        </w:rPr>
        <w:t>on the ground</w:t>
      </w:r>
      <w:r>
        <w:rPr>
          <w:rFonts w:ascii="Helvetica Neue" w:eastAsia="Helvetica Neue" w:hAnsi="Helvetica Neue" w:cs="Helvetica Neue"/>
        </w:rPr>
        <w:t>.</w:t>
      </w:r>
    </w:p>
    <w:p w14:paraId="491D946D"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The AMINO project (co-PIs: J. Mazoyer and V. </w:t>
      </w:r>
      <w:proofErr w:type="spellStart"/>
      <w:r>
        <w:rPr>
          <w:rFonts w:ascii="Helvetica Neue" w:eastAsia="Helvetica Neue" w:hAnsi="Helvetica Neue" w:cs="Helvetica Neue"/>
        </w:rPr>
        <w:t>Chambouleyron</w:t>
      </w:r>
      <w:proofErr w:type="spellEnd"/>
      <w:r>
        <w:rPr>
          <w:rFonts w:ascii="Helvetica Neue" w:eastAsia="Helvetica Neue" w:hAnsi="Helvetica Neue" w:cs="Helvetica Neue"/>
        </w:rPr>
        <w:t xml:space="preserve">) aims to address some of the challenges associated with direct imaging, particularly for observing </w:t>
      </w:r>
      <w:proofErr w:type="spellStart"/>
      <w:r>
        <w:rPr>
          <w:rFonts w:ascii="Helvetica Neue" w:eastAsia="Helvetica Neue" w:hAnsi="Helvetica Neue" w:cs="Helvetica Neue"/>
        </w:rPr>
        <w:t>exo</w:t>
      </w:r>
      <w:proofErr w:type="spellEnd"/>
      <w:r>
        <w:rPr>
          <w:rFonts w:ascii="Helvetica Neue" w:eastAsia="Helvetica Neue" w:hAnsi="Helvetica Neue" w:cs="Helvetica Neue"/>
        </w:rPr>
        <w:t>-Earths with planet/star flux ratios down to 10</w:t>
      </w:r>
      <w:r>
        <w:rPr>
          <w:rFonts w:ascii="Helvetica Neue" w:eastAsia="Helvetica Neue" w:hAnsi="Helvetica Neue" w:cs="Helvetica Neue"/>
          <w:vertAlign w:val="superscript"/>
        </w:rPr>
        <w:t>-10</w:t>
      </w:r>
      <w:r>
        <w:rPr>
          <w:rFonts w:ascii="Helvetica Neue" w:eastAsia="Helvetica Neue" w:hAnsi="Helvetica Neue" w:cs="Helvetica Neue"/>
        </w:rPr>
        <w:t xml:space="preserve">. One of them is the precise control of the incoming light aberrations with deformable optics to maintain areas of high-contrast regions (dark holes) over long periods of time and over a large spectral </w:t>
      </w:r>
      <w:proofErr w:type="spellStart"/>
      <w:r>
        <w:rPr>
          <w:rFonts w:ascii="Helvetica Neue" w:eastAsia="Helvetica Neue" w:hAnsi="Helvetica Neue" w:cs="Helvetica Neue"/>
        </w:rPr>
        <w:t>bandwitdh</w:t>
      </w:r>
      <w:proofErr w:type="spellEnd"/>
      <w:r>
        <w:rPr>
          <w:rFonts w:ascii="Helvetica Neue" w:eastAsia="Helvetica Neue" w:hAnsi="Helvetica Neue" w:cs="Helvetica Neue"/>
        </w:rPr>
        <w:t>, which is critical for spectroscopy of faint planets.</w:t>
      </w:r>
    </w:p>
    <w:p w14:paraId="0ED3FE4E"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The AMINO project focuses on advancing </w:t>
      </w:r>
      <w:r>
        <w:rPr>
          <w:rFonts w:ascii="Helvetica Neue" w:eastAsia="Helvetica Neue" w:hAnsi="Helvetica Neue" w:cs="Helvetica Neue"/>
          <w:b/>
          <w:bCs/>
        </w:rPr>
        <w:t>Focal Plane Wavefront Sensing (FPWFS)</w:t>
      </w:r>
      <w:r>
        <w:rPr>
          <w:rFonts w:ascii="Helvetica Neue" w:eastAsia="Helvetica Neue" w:hAnsi="Helvetica Neue" w:cs="Helvetica Neue"/>
        </w:rPr>
        <w:t xml:space="preserve"> techniques, to estimate aberrations and create or maintain dark-holes. Our team has pioneered some of these </w:t>
      </w:r>
      <w:r>
        <w:rPr>
          <w:rFonts w:ascii="Helvetica Neue" w:eastAsia="Helvetica Neue" w:hAnsi="Helvetica Neue" w:cs="Helvetica Neue"/>
        </w:rPr>
        <w:lastRenderedPageBreak/>
        <w:t xml:space="preserve">techniques, and is currently involved in their integration in both space and ground-based technological demonstrators: </w:t>
      </w:r>
      <w:r>
        <w:rPr>
          <w:rFonts w:ascii="Helvetica Neue" w:eastAsia="Helvetica Neue" w:hAnsi="Helvetica Neue" w:cs="Helvetica Neue"/>
          <w:b/>
          <w:bCs/>
        </w:rPr>
        <w:t xml:space="preserve">Coronagraph Instrument (CGI) on </w:t>
      </w:r>
      <w:r>
        <w:rPr>
          <w:rFonts w:ascii="Helvetica Neue" w:eastAsia="Helvetica Neue" w:hAnsi="Helvetica Neue" w:cs="Helvetica Neue"/>
        </w:rPr>
        <w:t xml:space="preserve">NASA’s </w:t>
      </w:r>
      <w:r>
        <w:rPr>
          <w:rFonts w:ascii="Helvetica Neue" w:eastAsia="Helvetica Neue" w:hAnsi="Helvetica Neue" w:cs="Helvetica Neue"/>
          <w:b/>
          <w:bCs/>
        </w:rPr>
        <w:t xml:space="preserve">Roman Space Telescope </w:t>
      </w:r>
      <w:r>
        <w:rPr>
          <w:rFonts w:ascii="Helvetica Neue" w:eastAsia="Helvetica Neue" w:hAnsi="Helvetica Neue" w:cs="Helvetica Neue"/>
        </w:rPr>
        <w:t xml:space="preserve">and </w:t>
      </w:r>
      <w:r>
        <w:rPr>
          <w:rFonts w:ascii="Helvetica Neue" w:eastAsia="Helvetica Neue" w:hAnsi="Helvetica Neue" w:cs="Helvetica Neue"/>
          <w:b/>
          <w:bCs/>
        </w:rPr>
        <w:t>SPHERE+</w:t>
      </w:r>
      <w:r>
        <w:rPr>
          <w:rFonts w:ascii="Helvetica Neue" w:eastAsia="Helvetica Neue" w:hAnsi="Helvetica Neue" w:cs="Helvetica Neue"/>
        </w:rPr>
        <w:t xml:space="preserve"> on ESO’s Very Large Telescope (VLT). But the efficiency of these FPWFS drops quickly in large spectral broadband: current instruments must rely on slow, sequential measurements in several narrow bands, which limit their performance.</w:t>
      </w:r>
    </w:p>
    <w:p w14:paraId="75CFAE9B" w14:textId="77777777" w:rsidR="008A2576" w:rsidRDefault="00000000">
      <w:pPr>
        <w:jc w:val="both"/>
        <w:rPr>
          <w:rFonts w:ascii="Helvetica Neue" w:eastAsia="Helvetica Neue" w:hAnsi="Helvetica Neue" w:cs="Helvetica Neue"/>
          <w:b/>
          <w:bCs/>
        </w:rPr>
      </w:pPr>
      <w:r>
        <w:rPr>
          <w:rFonts w:ascii="Helvetica Neue" w:eastAsia="Helvetica Neue" w:hAnsi="Helvetica Neue" w:cs="Helvetica Neue"/>
          <w:b/>
          <w:bCs/>
        </w:rPr>
        <w:t xml:space="preserve">Proposed work: </w:t>
      </w:r>
      <w:r>
        <w:rPr>
          <w:rFonts w:ascii="Helvetica Neue" w:eastAsia="Helvetica Neue" w:hAnsi="Helvetica Neue" w:cs="Helvetica Neue"/>
        </w:rPr>
        <w:t xml:space="preserve">The proposed work will look at two complementary methods for wavefront sensing and control: the Zernike wavefront sensor (ZWFS) and electric field conjugation with pairwise probing (EFC+PWP). These methods have been validated independently but have never been studied and used together to improve their respective performance. In this context, we work will be </w:t>
      </w:r>
      <w:proofErr w:type="spellStart"/>
      <w:r>
        <w:rPr>
          <w:rFonts w:ascii="Helvetica Neue" w:eastAsia="Helvetica Neue" w:hAnsi="Helvetica Neue" w:cs="Helvetica Neue"/>
        </w:rPr>
        <w:t>organised</w:t>
      </w:r>
      <w:proofErr w:type="spellEnd"/>
      <w:r>
        <w:rPr>
          <w:rFonts w:ascii="Helvetica Neue" w:eastAsia="Helvetica Neue" w:hAnsi="Helvetica Neue" w:cs="Helvetica Neue"/>
        </w:rPr>
        <w:t xml:space="preserve"> in two sequential parts:</w:t>
      </w:r>
    </w:p>
    <w:p w14:paraId="3B6A59F5" w14:textId="77777777" w:rsidR="008A2576" w:rsidRDefault="00000000">
      <w:pPr>
        <w:spacing w:after="113"/>
        <w:ind w:firstLine="720"/>
        <w:jc w:val="both"/>
        <w:rPr>
          <w:rFonts w:ascii="Helvetica Neue" w:eastAsia="Helvetica Neue" w:hAnsi="Helvetica Neue" w:cs="Helvetica Neue"/>
          <w:b/>
          <w:bCs/>
        </w:rPr>
      </w:pPr>
      <w:r>
        <w:rPr>
          <w:rFonts w:ascii="Helvetica Neue" w:eastAsia="Helvetica Neue" w:hAnsi="Helvetica Neue" w:cs="Helvetica Neue"/>
          <w:b/>
          <w:bCs/>
        </w:rPr>
        <w:t>1/ Simulation and design of a polychromatic ZWFS</w:t>
      </w:r>
    </w:p>
    <w:p w14:paraId="7A09EA30" w14:textId="77777777" w:rsidR="008A2576" w:rsidRDefault="00000000">
      <w:pPr>
        <w:spacing w:after="113"/>
        <w:jc w:val="both"/>
      </w:pPr>
      <w:r>
        <w:rPr>
          <w:rFonts w:ascii="Helvetica Neue" w:eastAsia="Helvetica Neue" w:hAnsi="Helvetica Neue" w:cs="Helvetica Neue"/>
        </w:rPr>
        <w:t>The selected applicant will conduct simulations to explore the parameter space of the THD2 testbed and find the optimal design for the Zernike mask. Then the mask will be designed, manufactured (by an external company) and verified on the LAM metrology platform. In parallel the postdoc will investigate in simulation how to best combine ZWFS measurements with EFC+PWP</w:t>
      </w:r>
      <w:r>
        <w:t xml:space="preserve"> for dark hole digging and maintenance. </w:t>
      </w:r>
    </w:p>
    <w:p w14:paraId="696A19A3" w14:textId="77777777" w:rsidR="008A2576" w:rsidRDefault="00000000">
      <w:pPr>
        <w:spacing w:after="113"/>
        <w:ind w:firstLine="720"/>
        <w:jc w:val="both"/>
        <w:rPr>
          <w:rFonts w:ascii="Helvetica Neue" w:eastAsia="Helvetica Neue" w:hAnsi="Helvetica Neue" w:cs="Helvetica Neue"/>
          <w:b/>
          <w:bCs/>
        </w:rPr>
      </w:pPr>
      <w:r>
        <w:rPr>
          <w:rFonts w:ascii="Helvetica Neue" w:eastAsia="Helvetica Neue" w:hAnsi="Helvetica Neue" w:cs="Helvetica Neue"/>
          <w:b/>
          <w:bCs/>
        </w:rPr>
        <w:t xml:space="preserve">2/ Implementation on the THD2 testbed at LIRA </w:t>
      </w:r>
    </w:p>
    <w:p w14:paraId="26667921"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The ZWFS component and methods explored in simulation will then be implemented on the THD2 testbed in Paris for broadband dark-hole </w:t>
      </w:r>
      <w:r>
        <w:t>digging and maintenance</w:t>
      </w:r>
      <w:r>
        <w:rPr>
          <w:rFonts w:ascii="Helvetica Neue" w:eastAsia="Helvetica Neue" w:hAnsi="Helvetica Neue" w:cs="Helvetica Neue"/>
        </w:rPr>
        <w:t>. The performance of the different methods or their combination will be investigated and compared in the context for future space missions.</w:t>
      </w:r>
    </w:p>
    <w:p w14:paraId="4441A494"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In addition to these two main parts, the selected applicant may have the opportunity to participate in data acquisition at the VLT with the SPHERE/IFS instrument, where ZWFS and EFC+PWP are available. This part of the project will be subject to acceptance of technical time on SPHERE, which cannot be guaranteed now.</w:t>
      </w:r>
    </w:p>
    <w:p w14:paraId="2553A772"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Ideally, the selected candidate will spend one year in Marseille and one year in Paris, but this is flexible given the complexity of the logistics involved. Instead of a complete move from one place to the other, long-duration stays could be considered provided that dedicated funding can be secured.</w:t>
      </w:r>
    </w:p>
    <w:p w14:paraId="154B868D" w14:textId="77777777" w:rsidR="008A2576" w:rsidRDefault="00000000">
      <w:pPr>
        <w:jc w:val="both"/>
        <w:rPr>
          <w:rFonts w:ascii="Helvetica Neue" w:eastAsia="Helvetica Neue" w:hAnsi="Helvetica Neue" w:cs="Helvetica Neue"/>
          <w:b/>
          <w:bCs/>
        </w:rPr>
      </w:pPr>
      <w:r>
        <w:rPr>
          <w:rFonts w:ascii="Helvetica Neue" w:eastAsia="Helvetica Neue" w:hAnsi="Helvetica Neue" w:cs="Helvetica Neue"/>
          <w:b/>
          <w:bCs/>
        </w:rPr>
        <w:t xml:space="preserve">Team &amp; environment: </w:t>
      </w:r>
      <w:r>
        <w:rPr>
          <w:rFonts w:ascii="Helvetica Neue" w:eastAsia="Helvetica Neue" w:hAnsi="Helvetica Neue" w:cs="Helvetica Neue"/>
        </w:rPr>
        <w:t>We value diversity of backgrounds and perspectives as essential drivers for innovation and collective success. We are committed to fostering an inclusive environment where everyone feels valued and supported in their professional development.</w:t>
      </w:r>
    </w:p>
    <w:p w14:paraId="0D75834D"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The postdoc will work between LAM and LIRA, which both have a wide range of expertise in instrumentation and astrophysical exploitation. The selected candidate will also be a member of the broader AMINO project that gathers experts in the field of brown dwarfs and exoplanets, adaptive optics, coronagraphy, wavefront sensors, and detectors at LIRA (Paris), LUX (Paris), LAM (Marseille) </w:t>
      </w:r>
      <w:r>
        <w:rPr>
          <w:rFonts w:ascii="Helvetica Neue" w:eastAsia="Helvetica Neue" w:hAnsi="Helvetica Neue" w:cs="Helvetica Neue"/>
        </w:rPr>
        <w:lastRenderedPageBreak/>
        <w:t xml:space="preserve">and Lagrange (Nice). Additional collaborations include the Makidon Lab at the Space Telescope Science Institute (Baltimore, USA) for space applications towards HWO. </w:t>
      </w:r>
    </w:p>
    <w:p w14:paraId="703ADDA9"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The selected candidate will benefit from a rich national and international scientific environment, and will have the opportunity to share their work with the community through international schools and conferences. </w:t>
      </w:r>
    </w:p>
    <w:p w14:paraId="1D56A18B"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b/>
          <w:bCs/>
        </w:rPr>
        <w:t xml:space="preserve">Keywords: </w:t>
      </w:r>
      <w:r>
        <w:rPr>
          <w:rFonts w:ascii="Helvetica Neue" w:eastAsia="Helvetica Neue" w:hAnsi="Helvetica Neue" w:cs="Helvetica Neue"/>
        </w:rPr>
        <w:t>instrumentation, adaptive optics, high-contrast imaging and spectroscopy, coronagraphy, wavefront sensing and control, detectors, exoplanets, brown dwarfs.</w:t>
      </w:r>
    </w:p>
    <w:p w14:paraId="1F8022CC" w14:textId="77777777"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b/>
          <w:bCs/>
        </w:rPr>
        <w:t xml:space="preserve">Applicant’s profile: </w:t>
      </w:r>
      <w:r>
        <w:rPr>
          <w:rFonts w:ascii="Helvetica Neue" w:eastAsia="Helvetica Neue" w:hAnsi="Helvetica Neue" w:cs="Helvetica Neue"/>
        </w:rPr>
        <w:t>Minimum qualifications include a PhD degree in astrophysics, astronomical instrumentation or a closely related field, but applicants must have a demonstrated track record in wavefront sensing and control, coronagraphy, or related domains. They must also have demonstrated their capacity for independent work and for conducting their own research. The candidates are expected to be enthusiastic, dynamic, autonomous while having teamwork abilities.</w:t>
      </w:r>
    </w:p>
    <w:p w14:paraId="11C3A2A9" w14:textId="25F59F0C" w:rsidR="008A2576" w:rsidRDefault="00000000">
      <w:pPr>
        <w:spacing w:after="113"/>
        <w:jc w:val="both"/>
        <w:rPr>
          <w:rFonts w:ascii="Helvetica Neue" w:eastAsia="Helvetica Neue" w:hAnsi="Helvetica Neue" w:cs="Helvetica Neue"/>
        </w:rPr>
      </w:pPr>
      <w:r>
        <w:rPr>
          <w:rFonts w:ascii="Helvetica Neue" w:eastAsia="Helvetica Neue" w:hAnsi="Helvetica Neue" w:cs="Helvetica Neue"/>
        </w:rPr>
        <w:t xml:space="preserve">Candidates in the process of finishing their PhD </w:t>
      </w:r>
      <w:r w:rsidR="005A5109">
        <w:rPr>
          <w:rFonts w:ascii="Helvetica Neue" w:eastAsia="Helvetica Neue" w:hAnsi="Helvetica Neue" w:cs="Helvetica Neue"/>
        </w:rPr>
        <w:t>by the end of 2026</w:t>
      </w:r>
      <w:r>
        <w:rPr>
          <w:rFonts w:ascii="Helvetica Neue" w:eastAsia="Helvetica Neue" w:hAnsi="Helvetica Neue" w:cs="Helvetica Neue"/>
        </w:rPr>
        <w:t xml:space="preserve"> are highly encouraged to apply and will be given full consideration. Junior and senior applications will be evaluated at the same level. LAM</w:t>
      </w:r>
      <w:r w:rsidR="0048083C">
        <w:rPr>
          <w:rFonts w:ascii="Helvetica Neue" w:eastAsia="Helvetica Neue" w:hAnsi="Helvetica Neue" w:cs="Helvetica Neue"/>
        </w:rPr>
        <w:t>, LIRA</w:t>
      </w:r>
      <w:r>
        <w:rPr>
          <w:rFonts w:ascii="Helvetica Neue" w:eastAsia="Helvetica Neue" w:hAnsi="Helvetica Neue" w:cs="Helvetica Neue"/>
        </w:rPr>
        <w:t xml:space="preserve"> and CNRS are actively committed to equal opportunity in employment.</w:t>
      </w:r>
    </w:p>
    <w:p w14:paraId="1943E9DD" w14:textId="77777777" w:rsidR="008A2576" w:rsidRDefault="00000000">
      <w:pPr>
        <w:jc w:val="both"/>
        <w:rPr>
          <w:rFonts w:ascii="Helvetica Neue" w:eastAsia="Helvetica Neue" w:hAnsi="Helvetica Neue" w:cs="Helvetica Neue"/>
          <w:b/>
          <w:bCs/>
        </w:rPr>
      </w:pPr>
      <w:r>
        <w:rPr>
          <w:rFonts w:ascii="Helvetica Neue" w:eastAsia="Helvetica Neue" w:hAnsi="Helvetica Neue" w:cs="Helvetica Neue"/>
          <w:b/>
          <w:bCs/>
        </w:rPr>
        <w:t>Application</w:t>
      </w:r>
    </w:p>
    <w:p w14:paraId="5D6F8D2A" w14:textId="458F6779" w:rsidR="008A2576" w:rsidRDefault="00000000">
      <w:pPr>
        <w:spacing w:after="113"/>
        <w:jc w:val="both"/>
      </w:pPr>
      <w:r>
        <w:rPr>
          <w:rFonts w:ascii="Helvetica Neue" w:eastAsia="Helvetica Neue" w:hAnsi="Helvetica Neue" w:cs="Helvetica Neue"/>
        </w:rPr>
        <w:t>Deadline:</w:t>
      </w:r>
      <w:r w:rsidR="00AD2108">
        <w:rPr>
          <w:rFonts w:ascii="Helvetica Neue" w:eastAsia="Helvetica Neue" w:hAnsi="Helvetica Neue" w:cs="Helvetica Neue"/>
        </w:rPr>
        <w:t xml:space="preserve"> </w:t>
      </w:r>
      <w:r w:rsidR="00AD2108" w:rsidRPr="00C06101">
        <w:rPr>
          <w:rFonts w:ascii="Helvetica Neue" w:eastAsia="Helvetica Neue" w:hAnsi="Helvetica Neue" w:cs="Helvetica Neue"/>
          <w:b/>
          <w:bCs/>
          <w:color w:val="EE0000"/>
        </w:rPr>
        <w:t>Friday 12 June 2026 (23:59 CET)</w:t>
      </w:r>
    </w:p>
    <w:p w14:paraId="1B8761D9" w14:textId="77777777" w:rsidR="008A2576" w:rsidRDefault="00000000">
      <w:pPr>
        <w:spacing w:after="113"/>
        <w:contextualSpacing/>
        <w:jc w:val="both"/>
      </w:pPr>
      <w:r>
        <w:rPr>
          <w:rFonts w:ascii="Helvetica Neue" w:eastAsia="Helvetica Neue" w:hAnsi="Helvetica Neue" w:cs="Helvetica Neue"/>
        </w:rPr>
        <w:t>The application is constituted of the following documents:</w:t>
      </w:r>
    </w:p>
    <w:p w14:paraId="33C1704A" w14:textId="189CF69E" w:rsidR="008A2576" w:rsidRDefault="00000000" w:rsidP="00B7405E">
      <w:pPr>
        <w:pStyle w:val="Paragraphedeliste"/>
        <w:numPr>
          <w:ilvl w:val="0"/>
          <w:numId w:val="6"/>
        </w:numPr>
        <w:spacing w:after="113"/>
        <w:ind w:right="571"/>
        <w:jc w:val="both"/>
        <w:rPr>
          <w:rFonts w:ascii="Helvetica Neue" w:eastAsia="Helvetica Neue" w:hAnsi="Helvetica Neue" w:cs="Helvetica Neue"/>
        </w:rPr>
      </w:pPr>
      <w:r>
        <w:rPr>
          <w:rFonts w:ascii="Helvetica Neue" w:eastAsia="Helvetica Neue" w:hAnsi="Helvetica Neue" w:cs="Helvetica Neue"/>
        </w:rPr>
        <w:t xml:space="preserve">Cover letter, up to </w:t>
      </w:r>
      <w:r w:rsidR="00B7405E">
        <w:rPr>
          <w:rFonts w:ascii="Helvetica Neue" w:eastAsia="Helvetica Neue" w:hAnsi="Helvetica Neue" w:cs="Helvetica Neue"/>
        </w:rPr>
        <w:t>3</w:t>
      </w:r>
      <w:r>
        <w:rPr>
          <w:rFonts w:ascii="Helvetica Neue" w:eastAsia="Helvetica Neue" w:hAnsi="Helvetica Neue" w:cs="Helvetica Neue"/>
        </w:rPr>
        <w:t xml:space="preserve"> pages, highlighting your past resea</w:t>
      </w:r>
      <w:r w:rsidR="00A8649D">
        <w:rPr>
          <w:rFonts w:ascii="Helvetica Neue" w:eastAsia="Helvetica Neue" w:hAnsi="Helvetica Neue" w:cs="Helvetica Neue"/>
        </w:rPr>
        <w:t>r</w:t>
      </w:r>
      <w:r>
        <w:rPr>
          <w:rFonts w:ascii="Helvetica Neue" w:eastAsia="Helvetica Neue" w:hAnsi="Helvetica Neue" w:cs="Helvetica Neue"/>
        </w:rPr>
        <w:t xml:space="preserve">ch and </w:t>
      </w:r>
      <w:r w:rsidR="006F4D4D">
        <w:rPr>
          <w:rFonts w:ascii="Helvetica Neue" w:eastAsia="Helvetica Neue" w:hAnsi="Helvetica Neue" w:cs="Helvetica Neue"/>
        </w:rPr>
        <w:t>how it relates to</w:t>
      </w:r>
      <w:r>
        <w:rPr>
          <w:rFonts w:ascii="Helvetica Neue" w:eastAsia="Helvetica Neue" w:hAnsi="Helvetica Neue" w:cs="Helvetica Neue"/>
        </w:rPr>
        <w:t xml:space="preserve"> the project</w:t>
      </w:r>
    </w:p>
    <w:p w14:paraId="1EFD920A" w14:textId="77777777" w:rsidR="008A2576" w:rsidRDefault="00000000" w:rsidP="00B7405E">
      <w:pPr>
        <w:pStyle w:val="Paragraphedeliste"/>
        <w:numPr>
          <w:ilvl w:val="0"/>
          <w:numId w:val="5"/>
        </w:numPr>
        <w:spacing w:after="113"/>
        <w:ind w:right="571"/>
        <w:jc w:val="both"/>
        <w:rPr>
          <w:rFonts w:ascii="Helvetica Neue" w:eastAsia="Helvetica Neue" w:hAnsi="Helvetica Neue" w:cs="Helvetica Neue"/>
        </w:rPr>
      </w:pPr>
      <w:r>
        <w:rPr>
          <w:rFonts w:ascii="Helvetica Neue" w:eastAsia="Helvetica Neue" w:hAnsi="Helvetica Neue" w:cs="Helvetica Neue"/>
        </w:rPr>
        <w:t>Curriculum vitae, including a full list of publications</w:t>
      </w:r>
    </w:p>
    <w:p w14:paraId="00D8443B" w14:textId="0976BC46" w:rsidR="008A2576" w:rsidRDefault="00000000" w:rsidP="00B7405E">
      <w:pPr>
        <w:pStyle w:val="Paragraphedeliste"/>
        <w:numPr>
          <w:ilvl w:val="0"/>
          <w:numId w:val="5"/>
        </w:numPr>
        <w:spacing w:after="113"/>
        <w:ind w:right="571"/>
        <w:jc w:val="both"/>
        <w:rPr>
          <w:rFonts w:ascii="Helvetica Neue" w:eastAsia="Helvetica Neue" w:hAnsi="Helvetica Neue" w:cs="Helvetica Neue"/>
        </w:rPr>
      </w:pPr>
      <w:r>
        <w:rPr>
          <w:rFonts w:ascii="Helvetica Neue" w:eastAsia="Helvetica Neue" w:hAnsi="Helvetica Neue" w:cs="Helvetica Neue"/>
        </w:rPr>
        <w:t>2 letters of reference to be sent directly to Dr. Arthur Vigan (</w:t>
      </w:r>
      <w:hyperlink r:id="rId7" w:tooltip="mailto:arthur.vigan@lam.fr" w:history="1">
        <w:r w:rsidR="008A2576">
          <w:rPr>
            <w:rStyle w:val="Lienhypertexte"/>
            <w:rFonts w:ascii="Helvetica Neue" w:eastAsia="Helvetica Neue" w:hAnsi="Helvetica Neue" w:cs="Helvetica Neue"/>
          </w:rPr>
          <w:t>arthur.vigan@lam.fr</w:t>
        </w:r>
      </w:hyperlink>
      <w:r>
        <w:rPr>
          <w:rFonts w:ascii="Helvetica Neue" w:eastAsia="Helvetica Neue" w:hAnsi="Helvetica Neue" w:cs="Helvetica Neue"/>
        </w:rPr>
        <w:t>) and Dr. Axel Potier (</w:t>
      </w:r>
      <w:hyperlink r:id="rId8" w:tooltip="mailto:axel.potier@obspm.fr" w:history="1">
        <w:r w:rsidR="008A2576">
          <w:rPr>
            <w:rStyle w:val="Lienhypertexte"/>
            <w:rFonts w:ascii="Helvetica Neue" w:eastAsia="Helvetica Neue" w:hAnsi="Helvetica Neue" w:cs="Helvetica Neue"/>
          </w:rPr>
          <w:t>axel.potier@obspm.fr</w:t>
        </w:r>
      </w:hyperlink>
      <w:r>
        <w:rPr>
          <w:rFonts w:ascii="Helvetica Neue" w:eastAsia="Helvetica Neue" w:hAnsi="Helvetica Neue" w:cs="Helvetica Neue"/>
        </w:rPr>
        <w:t>)</w:t>
      </w:r>
      <w:r w:rsidR="00C55DA7">
        <w:rPr>
          <w:rFonts w:ascii="Helvetica Neue" w:eastAsia="Helvetica Neue" w:hAnsi="Helvetica Neue" w:cs="Helvetica Neue"/>
        </w:rPr>
        <w:t xml:space="preserve"> before the deadline</w:t>
      </w:r>
    </w:p>
    <w:p w14:paraId="03BE4090" w14:textId="77777777" w:rsidR="008A2576" w:rsidRDefault="00000000">
      <w:pPr>
        <w:spacing w:after="113"/>
        <w:jc w:val="both"/>
      </w:pPr>
      <w:r>
        <w:rPr>
          <w:rFonts w:ascii="Helvetica Neue" w:eastAsia="Helvetica Neue" w:hAnsi="Helvetica Neue" w:cs="Helvetica Neue"/>
        </w:rPr>
        <w:t>The CV and research statement must be submitted through the CNRS job portal:</w:t>
      </w:r>
    </w:p>
    <w:p w14:paraId="34BF7F79" w14:textId="0FE33749" w:rsidR="008A2576" w:rsidRDefault="00000000">
      <w:pPr>
        <w:spacing w:after="113"/>
        <w:jc w:val="both"/>
        <w:rPr>
          <w:rFonts w:ascii="Helvetica Neue" w:eastAsia="Helvetica Neue" w:hAnsi="Helvetica Neue" w:cs="Helvetica Neue"/>
          <w:color w:val="FF0000"/>
        </w:rPr>
      </w:pPr>
      <w:hyperlink r:id="rId9" w:history="1">
        <w:r w:rsidR="00831FE0" w:rsidRPr="00057D84">
          <w:rPr>
            <w:rStyle w:val="Lienhypertexte"/>
          </w:rPr>
          <w:t>https://emploi.cnrs.fr/Offres/CDD/UMR7326-ANAMEK-129/Default.aspx?lang=EN</w:t>
        </w:r>
      </w:hyperlink>
      <w:r w:rsidR="00831FE0">
        <w:t xml:space="preserve">  </w:t>
      </w:r>
      <w:r w:rsidR="008A2576">
        <w:rPr>
          <w:rFonts w:ascii="Helvetica Neue" w:eastAsia="Helvetica Neue" w:hAnsi="Helvetica Neue" w:cs="Helvetica Neue"/>
          <w:color w:val="FF0000"/>
        </w:rPr>
        <w:t xml:space="preserve"> </w:t>
      </w:r>
    </w:p>
    <w:p w14:paraId="318A1BEA" w14:textId="77777777" w:rsidR="008A2576" w:rsidRPr="00C06101" w:rsidRDefault="00000000">
      <w:pPr>
        <w:spacing w:after="113"/>
        <w:jc w:val="both"/>
        <w:rPr>
          <w:rFonts w:ascii="Helvetica Neue" w:eastAsia="Helvetica Neue" w:hAnsi="Helvetica Neue" w:cs="Helvetica Neue"/>
          <w:color w:val="EE0000"/>
        </w:rPr>
      </w:pPr>
      <w:r w:rsidRPr="00C06101">
        <w:rPr>
          <w:rFonts w:ascii="Helvetica Neue" w:eastAsia="Helvetica Neue" w:hAnsi="Helvetica Neue" w:cs="Helvetica Neue"/>
          <w:b/>
          <w:bCs/>
          <w:color w:val="EE0000"/>
        </w:rPr>
        <w:t>Applications not submitted through this portal will not be considered</w:t>
      </w:r>
      <w:r w:rsidRPr="00C06101">
        <w:rPr>
          <w:rFonts w:ascii="Helvetica Neue" w:eastAsia="Helvetica Neue" w:hAnsi="Helvetica Neue" w:cs="Helvetica Neue"/>
          <w:color w:val="EE0000"/>
        </w:rPr>
        <w:t>.</w:t>
      </w:r>
    </w:p>
    <w:sectPr w:rsidR="008A2576" w:rsidRPr="00C06101">
      <w:headerReference w:type="default" r:id="rId10"/>
      <w:footerReference w:type="default" r:id="rId11"/>
      <w:pgSz w:w="12240" w:h="15840"/>
      <w:pgMar w:top="1582"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47CF" w14:textId="77777777" w:rsidR="00FC5D6A" w:rsidRDefault="00FC5D6A">
      <w:pPr>
        <w:spacing w:line="240" w:lineRule="auto"/>
      </w:pPr>
      <w:r>
        <w:separator/>
      </w:r>
    </w:p>
  </w:endnote>
  <w:endnote w:type="continuationSeparator" w:id="0">
    <w:p w14:paraId="059B548C" w14:textId="77777777" w:rsidR="00FC5D6A" w:rsidRDefault="00FC5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E3D5" w14:textId="77777777" w:rsidR="008A2576" w:rsidRDefault="00000000">
    <w:pPr>
      <w:jc w:val="right"/>
    </w:pPr>
    <w:r>
      <w:fldChar w:fldCharType="begin"/>
    </w:r>
    <w:r>
      <w:instrText>PAGE</w:instrText>
    </w:r>
    <w:r>
      <w:fldChar w:fldCharType="separate"/>
    </w:r>
    <w:r w:rsidR="0048083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12F0" w14:textId="77777777" w:rsidR="00FC5D6A" w:rsidRDefault="00FC5D6A">
      <w:pPr>
        <w:spacing w:line="240" w:lineRule="auto"/>
      </w:pPr>
      <w:r>
        <w:separator/>
      </w:r>
    </w:p>
  </w:footnote>
  <w:footnote w:type="continuationSeparator" w:id="0">
    <w:p w14:paraId="71EE51DA" w14:textId="77777777" w:rsidR="00FC5D6A" w:rsidRDefault="00FC5D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3A3B" w14:textId="77777777" w:rsidR="008A2576" w:rsidRDefault="00000000">
    <w:r>
      <w:rPr>
        <w:noProof/>
      </w:rPr>
      <mc:AlternateContent>
        <mc:Choice Requires="wpg">
          <w:drawing>
            <wp:inline distT="0" distB="0" distL="0" distR="0" wp14:anchorId="71733F85" wp14:editId="6D58B74B">
              <wp:extent cx="1758653" cy="436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17886" name=""/>
                      <pic:cNvPicPr>
                        <a:picLocks noChangeAspect="1"/>
                      </pic:cNvPicPr>
                    </pic:nvPicPr>
                    <pic:blipFill rotWithShape="1">
                      <a:blip r:embed="rId1"/>
                      <a:stretch/>
                    </pic:blipFill>
                    <pic:spPr bwMode="auto">
                      <a:xfrm>
                        <a:off x="0" y="0"/>
                        <a:ext cx="1758652" cy="436306"/>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8.48pt;height:34.35pt;mso-wrap-distance-left:0.00pt;mso-wrap-distance-top:0.00pt;mso-wrap-distance-right:0.00pt;mso-wrap-distance-bottom:0.00pt;rotation:0;z-index:1;" stroked="false">
              <v:imagedata r:id="rId2" o:title=""/>
              <o:lock v:ext="edit" rotation="t"/>
            </v:shape>
          </w:pict>
        </mc:Fallback>
      </mc:AlternateContent>
    </w:r>
    <w:r>
      <w:t xml:space="preserve"> </w:t>
    </w:r>
    <w:r>
      <w:rPr>
        <w:noProof/>
      </w:rPr>
      <mc:AlternateContent>
        <mc:Choice Requires="wpg">
          <w:drawing>
            <wp:inline distT="0" distB="0" distL="0" distR="0" wp14:anchorId="7F7C9A53" wp14:editId="6A395983">
              <wp:extent cx="936000" cy="4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69178" name=""/>
                      <pic:cNvPicPr>
                        <a:picLocks noChangeAspect="1"/>
                      </pic:cNvPicPr>
                    </pic:nvPicPr>
                    <pic:blipFill rotWithShape="1">
                      <a:blip r:embed="rId3"/>
                      <a:stretch/>
                    </pic:blipFill>
                    <pic:spPr bwMode="auto">
                      <a:xfrm>
                        <a:off x="0" y="0"/>
                        <a:ext cx="936000" cy="468000"/>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73.70pt;height:36.85pt;mso-wrap-distance-left:0.00pt;mso-wrap-distance-top:0.00pt;mso-wrap-distance-right:0.00pt;mso-wrap-distance-bottom:0.00pt;rotation:0;z-index:1;" stroked="false">
              <v:imagedata r:id="rId4" o:title=""/>
              <o:lock v:ext="edit" rotation="t"/>
            </v:shape>
          </w:pict>
        </mc:Fallback>
      </mc:AlternateContent>
    </w:r>
    <w:r>
      <w:t xml:space="preserve"> </w:t>
    </w:r>
    <w:r>
      <w:rPr>
        <w:noProof/>
      </w:rPr>
      <mc:AlternateContent>
        <mc:Choice Requires="wpg">
          <w:drawing>
            <wp:inline distT="0" distB="0" distL="0" distR="0" wp14:anchorId="352BDE11" wp14:editId="6EF30618">
              <wp:extent cx="1037175" cy="3954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6275" name=""/>
                      <pic:cNvPicPr>
                        <a:picLocks noChangeAspect="1"/>
                      </pic:cNvPicPr>
                    </pic:nvPicPr>
                    <pic:blipFill rotWithShape="1">
                      <a:blip r:embed="rId5"/>
                      <a:stretch/>
                    </pic:blipFill>
                    <pic:spPr bwMode="auto">
                      <a:xfrm>
                        <a:off x="0" y="0"/>
                        <a:ext cx="1037174" cy="395403"/>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1.67pt;height:31.13pt;mso-wrap-distance-left:0.00pt;mso-wrap-distance-top:0.00pt;mso-wrap-distance-right:0.00pt;mso-wrap-distance-bottom:0.00pt;rotation:0;z-index:1;" stroked="false">
              <v:imagedata r:id="rId6" o:title=""/>
              <o:lock v:ext="edit" rotation="t"/>
            </v:shape>
          </w:pict>
        </mc:Fallback>
      </mc:AlternateContent>
    </w:r>
    <w:r>
      <w:t xml:space="preserve"> </w:t>
    </w:r>
    <w:r>
      <w:rPr>
        <w:noProof/>
      </w:rPr>
      <mc:AlternateContent>
        <mc:Choice Requires="wpg">
          <w:drawing>
            <wp:inline distT="0" distB="0" distL="0" distR="0" wp14:anchorId="7C3DB157" wp14:editId="65C942BA">
              <wp:extent cx="409423" cy="4094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44663" name=""/>
                      <pic:cNvPicPr>
                        <a:picLocks noChangeAspect="1"/>
                      </pic:cNvPicPr>
                    </pic:nvPicPr>
                    <pic:blipFill rotWithShape="1">
                      <a:blip r:embed="rId7"/>
                      <a:stretch/>
                    </pic:blipFill>
                    <pic:spPr bwMode="auto">
                      <a:xfrm>
                        <a:off x="0" y="0"/>
                        <a:ext cx="409421" cy="409421"/>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2.24pt;height:32.24pt;mso-wrap-distance-left:0.00pt;mso-wrap-distance-top:0.00pt;mso-wrap-distance-right:0.00pt;mso-wrap-distance-bottom:0.00pt;rotation:0;z-index:1;" stroked="false">
              <v:imagedata r:id="rId8" o:title=""/>
              <o:lock v:ext="edit" rotation="t"/>
            </v:shape>
          </w:pict>
        </mc:Fallback>
      </mc:AlternateContent>
    </w:r>
    <w:r>
      <w:t xml:space="preserve"> </w:t>
    </w:r>
    <w:r>
      <w:rPr>
        <w:noProof/>
      </w:rPr>
      <mc:AlternateContent>
        <mc:Choice Requires="wpg">
          <w:drawing>
            <wp:inline distT="0" distB="0" distL="0" distR="0" wp14:anchorId="7511B79A" wp14:editId="43BD8D93">
              <wp:extent cx="1126800" cy="36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09280" name=""/>
                      <pic:cNvPicPr>
                        <a:picLocks noChangeAspect="1"/>
                      </pic:cNvPicPr>
                    </pic:nvPicPr>
                    <pic:blipFill rotWithShape="1">
                      <a:blip r:embed="rId9"/>
                      <a:stretch/>
                    </pic:blipFill>
                    <pic:spPr bwMode="auto">
                      <a:xfrm>
                        <a:off x="0" y="0"/>
                        <a:ext cx="1126799" cy="360000"/>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8.72pt;height:28.35pt;mso-wrap-distance-left:0.00pt;mso-wrap-distance-top:0.00pt;mso-wrap-distance-right:0.00pt;mso-wrap-distance-bottom:0.00pt;rotation:0;z-index:1;" stroked="false">
              <v:imagedata r:id="rId10" o:title=""/>
              <o:lock v:ext="edit" rotation="t"/>
            </v:shape>
          </w:pict>
        </mc:Fallback>
      </mc:AlternateContent>
    </w:r>
    <w:r>
      <w:t xml:space="preserve">  </w:t>
    </w:r>
    <w:r>
      <w:rPr>
        <w:noProof/>
      </w:rPr>
      <mc:AlternateContent>
        <mc:Choice Requires="wpg">
          <w:drawing>
            <wp:inline distT="0" distB="0" distL="0" distR="0" wp14:anchorId="59ED1931" wp14:editId="77EC5001">
              <wp:extent cx="360000" cy="3600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25937" name=""/>
                      <pic:cNvPicPr>
                        <a:picLocks noChangeAspect="1"/>
                      </pic:cNvPicPr>
                    </pic:nvPicPr>
                    <pic:blipFill rotWithShape="1">
                      <a:blip r:embed="rId11">
                        <a:extLst>
                          <a:ext uri="{96DAC541-7B7A-43D3-8B79-37D633B846F1}">
                            <asvg:svgBlip xmlns:asvg="http://schemas.microsoft.com/office/drawing/2016/SVG/main" r:embed="rId12"/>
                          </a:ext>
                        </a:extLst>
                      </a:blip>
                      <a:stretch/>
                    </pic:blipFill>
                    <pic:spPr bwMode="auto">
                      <a:xfrm>
                        <a:off x="0" y="0"/>
                        <a:ext cx="360000" cy="360000"/>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8.35pt;height:28.35pt;mso-wrap-distance-left:0.00pt;mso-wrap-distance-top:0.00pt;mso-wrap-distance-right:0.00pt;mso-wrap-distance-bottom:0.00pt;rotation:0;z-index:1;" stroked="false">
              <v:imagedata r:id="rId13"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60C4"/>
    <w:multiLevelType w:val="multilevel"/>
    <w:tmpl w:val="04D22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0C8C7"/>
    <w:multiLevelType w:val="multilevel"/>
    <w:tmpl w:val="2B245E9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31362011"/>
    <w:multiLevelType w:val="multilevel"/>
    <w:tmpl w:val="CAB4F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96982E"/>
    <w:multiLevelType w:val="multilevel"/>
    <w:tmpl w:val="2E4EE8D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7D7E1C16"/>
    <w:multiLevelType w:val="multilevel"/>
    <w:tmpl w:val="74521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5309440">
    <w:abstractNumId w:val="4"/>
  </w:num>
  <w:num w:numId="2" w16cid:durableId="754519959">
    <w:abstractNumId w:val="0"/>
  </w:num>
  <w:num w:numId="3" w16cid:durableId="1084379521">
    <w:abstractNumId w:val="2"/>
  </w:num>
  <w:num w:numId="4" w16cid:durableId="1009795739">
    <w:abstractNumId w:val="3"/>
  </w:num>
  <w:num w:numId="5" w16cid:durableId="818154338">
    <w:abstractNumId w:val="1"/>
  </w:num>
  <w:num w:numId="6" w16cid:durableId="115533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76"/>
    <w:rsid w:val="0006390E"/>
    <w:rsid w:val="002E346D"/>
    <w:rsid w:val="00323E80"/>
    <w:rsid w:val="00376F34"/>
    <w:rsid w:val="003D37E8"/>
    <w:rsid w:val="00443A42"/>
    <w:rsid w:val="0048083C"/>
    <w:rsid w:val="005A5109"/>
    <w:rsid w:val="006E0566"/>
    <w:rsid w:val="006F4D4D"/>
    <w:rsid w:val="0080358F"/>
    <w:rsid w:val="00831FE0"/>
    <w:rsid w:val="008A2576"/>
    <w:rsid w:val="00A8649D"/>
    <w:rsid w:val="00AD2108"/>
    <w:rsid w:val="00B7405E"/>
    <w:rsid w:val="00C06101"/>
    <w:rsid w:val="00C26689"/>
    <w:rsid w:val="00C55DA7"/>
    <w:rsid w:val="00CD1AAC"/>
    <w:rsid w:val="00DA46F8"/>
    <w:rsid w:val="00FC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CC0C"/>
  <w15:docId w15:val="{9B9932A2-026A-D744-AB2F-53084A0B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pPr>
      <w:keepNext/>
      <w:keepLines/>
      <w:spacing w:before="480" w:after="120"/>
      <w:ind w:left="720" w:hanging="360"/>
      <w:outlineLvl w:val="0"/>
    </w:pPr>
    <w:rPr>
      <w:rFonts w:ascii="Calibri" w:eastAsia="Calibri" w:hAnsi="Calibri" w:cs="Calibri"/>
      <w:b/>
      <w:bCs/>
      <w:sz w:val="36"/>
      <w:szCs w:val="36"/>
    </w:rPr>
  </w:style>
  <w:style w:type="paragraph" w:styleId="Titre2">
    <w:name w:val="heading 2"/>
    <w:basedOn w:val="Normal"/>
    <w:next w:val="Normal"/>
    <w:link w:val="Titre2Car"/>
    <w:pPr>
      <w:keepNext/>
      <w:keepLines/>
      <w:spacing w:before="360" w:after="80"/>
      <w:ind w:left="1440" w:hanging="360"/>
      <w:jc w:val="both"/>
      <w:outlineLvl w:val="1"/>
    </w:pPr>
    <w:rPr>
      <w:rFonts w:ascii="Calibri" w:eastAsia="Calibri" w:hAnsi="Calibri" w:cs="Calibri"/>
      <w:b/>
      <w:bCs/>
      <w:sz w:val="28"/>
      <w:szCs w:val="28"/>
    </w:rPr>
  </w:style>
  <w:style w:type="paragraph" w:styleId="Titre3">
    <w:name w:val="heading 3"/>
    <w:basedOn w:val="Normal"/>
    <w:next w:val="Normal"/>
    <w:link w:val="Titre3Car"/>
    <w:pPr>
      <w:keepNext/>
      <w:keepLines/>
      <w:spacing w:before="360" w:after="80"/>
      <w:jc w:val="both"/>
      <w:outlineLvl w:val="2"/>
    </w:pPr>
    <w:rPr>
      <w:rFonts w:ascii="Calibri" w:eastAsia="Calibri" w:hAnsi="Calibri" w:cs="Calibri"/>
      <w:b/>
      <w:bCs/>
      <w:sz w:val="28"/>
      <w:szCs w:val="28"/>
    </w:rPr>
  </w:style>
  <w:style w:type="paragraph" w:styleId="Titre4">
    <w:name w:val="heading 4"/>
    <w:basedOn w:val="Normal"/>
    <w:next w:val="Normal"/>
    <w:link w:val="Titre4Car"/>
    <w:pPr>
      <w:keepNext/>
      <w:keepLines/>
      <w:spacing w:before="240" w:after="40"/>
      <w:outlineLvl w:val="3"/>
    </w:pPr>
    <w:rPr>
      <w:i/>
      <w:iCs/>
      <w:color w:val="666666"/>
    </w:rPr>
  </w:style>
  <w:style w:type="paragraph" w:styleId="Titre5">
    <w:name w:val="heading 5"/>
    <w:basedOn w:val="Normal"/>
    <w:next w:val="Normal"/>
    <w:link w:val="Titre5Car"/>
    <w:pPr>
      <w:keepNext/>
      <w:keepLines/>
      <w:spacing w:before="220" w:after="40"/>
      <w:outlineLvl w:val="4"/>
    </w:pPr>
    <w:rPr>
      <w:b/>
      <w:bCs/>
      <w:color w:val="666666"/>
      <w:sz w:val="20"/>
      <w:szCs w:val="20"/>
    </w:rPr>
  </w:style>
  <w:style w:type="paragraph" w:styleId="Titre6">
    <w:name w:val="heading 6"/>
    <w:basedOn w:val="Normal"/>
    <w:next w:val="Normal"/>
    <w:link w:val="Titre6Car"/>
    <w:pPr>
      <w:keepNext/>
      <w:keepLines/>
      <w:spacing w:before="200" w:after="40"/>
      <w:outlineLvl w:val="5"/>
    </w:pPr>
    <w:rPr>
      <w:i/>
      <w:iCs/>
      <w:color w:val="666666"/>
      <w:sz w:val="20"/>
      <w:szCs w:val="20"/>
    </w:rPr>
  </w:style>
  <w:style w:type="paragraph" w:styleId="Titre7">
    <w:name w:val="heading 7"/>
    <w:basedOn w:val="Normal"/>
    <w:next w:val="Normal"/>
    <w:link w:val="Titre7Car"/>
    <w:uiPriority w:val="9"/>
    <w:unhideWhenUsed/>
    <w:qFormat/>
    <w:pPr>
      <w:keepNext/>
      <w:keepLines/>
      <w:spacing w:before="40"/>
      <w:outlineLvl w:val="6"/>
    </w:pPr>
    <w:rPr>
      <w:color w:val="595959" w:themeColor="text1" w:themeTint="A6"/>
    </w:rPr>
  </w:style>
  <w:style w:type="paragraph" w:styleId="Titre8">
    <w:name w:val="heading 8"/>
    <w:basedOn w:val="Normal"/>
    <w:next w:val="Normal"/>
    <w:link w:val="Titre8Car"/>
    <w:uiPriority w:val="9"/>
    <w:unhideWhenUsed/>
    <w:qFormat/>
    <w:pPr>
      <w:keepNext/>
      <w:keepLines/>
      <w:outlineLvl w:val="7"/>
    </w:pPr>
    <w:rPr>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etableauclaire">
    <w:name w:val="Grid Table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leauGrille1Clair-Accentuation3">
    <w:name w:val="Grid Table 1 Light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leauGrille1Clair-Accentuation4">
    <w:name w:val="Grid Table 1 Light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leauGrille1Clair-Accentuation5">
    <w:name w:val="Grid Table 1 Light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leauGrille1Clair-Accentuation6">
    <w:name w:val="Grid Table 1 Light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2-Accentuation1">
    <w:name w:val="Grid Table 2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2-Accentuation2">
    <w:name w:val="Grid Table 2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2-Accentuation3">
    <w:name w:val="Grid Table 2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2-Accentuation4">
    <w:name w:val="Grid Table 2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2-Accentuation5">
    <w:name w:val="Grid Table 2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2-Accentuation6">
    <w:name w:val="Grid Table 2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Accentuation1">
    <w:name w:val="Grid Table 3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3-Accentuation2">
    <w:name w:val="Grid Table 3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3-Accentuation3">
    <w:name w:val="Grid Table 3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3-Accentuation4">
    <w:name w:val="Grid Table 3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3-Accentuation5">
    <w:name w:val="Grid Table 3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3-Accentuation6">
    <w:name w:val="Grid Table 3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Accentuation1">
    <w:name w:val="Grid Table 4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leauGrille4-Accentuation2">
    <w:name w:val="Grid Table 4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4-Accentuation3">
    <w:name w:val="Grid Table 4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4-Accentuation4">
    <w:name w:val="Grid Table 4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4-Accentuation5">
    <w:name w:val="Grid Table 4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4-Accentuation6">
    <w:name w:val="Grid Table 4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leauGrille5Fonc-Accentuation2">
    <w:name w:val="Grid Table 5 Dark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leauGrille5Fonc-Accentuation3">
    <w:name w:val="Grid Table 5 Dark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leauGrille5Fonc-Accentuation5">
    <w:name w:val="Grid Table 5 Dark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leauGrille5Fonc-Accentuation6">
    <w:name w:val="Grid Table 5 Dark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1Clair-Accentuation1">
    <w:name w:val="List Table 1 Light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leauListe1Clair-Accentuation2">
    <w:name w:val="List Table 1 Light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leauListe1Clair-Accentuation3">
    <w:name w:val="List Table 1 Light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leauListe1Clair-Accentuation4">
    <w:name w:val="List Table 1 Light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leauListe1Clair-Accentuation5">
    <w:name w:val="List Table 1 Light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leauListe1Clair-Accentuation6">
    <w:name w:val="List Table 1 Light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2-Accentuation1">
    <w:name w:val="List Table 2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2-Accentuation2">
    <w:name w:val="List Table 2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2-Accentuation3">
    <w:name w:val="List Table 2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2-Accentuation4">
    <w:name w:val="List Table 2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2-Accentuation5">
    <w:name w:val="List Table 2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2-Accentuation6">
    <w:name w:val="List Table 2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leauListe3-Accentuation2">
    <w:name w:val="List Table 3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leauListe3-Accentuation3">
    <w:name w:val="List Table 3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leauListe3-Accentuation4">
    <w:name w:val="List Table 3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leauListe3-Accentuation5">
    <w:name w:val="List Table 3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leauListe3-Accentuation6">
    <w:name w:val="List Table 3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4-Accentuation1">
    <w:name w:val="List Table 4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4-Accentuation2">
    <w:name w:val="List Table 4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4-Accentuation3">
    <w:name w:val="List Table 4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4-Accentuation4">
    <w:name w:val="List Table 4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4-Accentuation5">
    <w:name w:val="List Table 4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4-Accentuation6">
    <w:name w:val="List Table 4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5Fonc-Accentuation1">
    <w:name w:val="List Table 5 Dark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leauListe5Fonc-Accentuation2">
    <w:name w:val="List Table 5 Dark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leauListe5Fonc-Accentuation3">
    <w:name w:val="List Table 5 Dark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leauListe5Fonc-Accentuation4">
    <w:name w:val="List Table 5 Dark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leauListe5Fonc-Accentuation5">
    <w:name w:val="List Table 5 Dark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leauListe5Fonc-Accentuation6">
    <w:name w:val="List Table 5 Dark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link w:val="TitreCar"/>
    <w:pPr>
      <w:keepNext/>
      <w:keepLines/>
      <w:spacing w:before="480" w:after="120"/>
    </w:pPr>
    <w:rPr>
      <w:b/>
      <w:bCs/>
      <w:sz w:val="72"/>
      <w:szCs w:val="72"/>
    </w:rPr>
  </w:style>
  <w:style w:type="paragraph" w:styleId="Sous-titre">
    <w:name w:val="Subtitle"/>
    <w:basedOn w:val="Normal"/>
    <w:next w:val="Normal"/>
    <w:link w:val="Sous-titreCar"/>
    <w:pPr>
      <w:keepNext/>
      <w:keepLines/>
      <w:spacing w:before="360" w:after="80"/>
    </w:pPr>
    <w:rPr>
      <w:rFonts w:ascii="Georgia" w:eastAsia="Georgia" w:hAnsi="Georgia" w:cs="Georgia"/>
      <w:i/>
      <w:iCs/>
      <w:color w:val="666666"/>
      <w:sz w:val="48"/>
      <w:szCs w:val="48"/>
    </w:rPr>
  </w:style>
  <w:style w:type="character" w:styleId="Mentionnonrsolue">
    <w:name w:val="Unresolved Mention"/>
    <w:basedOn w:val="Policepardfaut"/>
    <w:uiPriority w:val="99"/>
    <w:semiHidden/>
    <w:unhideWhenUsed/>
    <w:rsid w:val="0083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xel.potier@obspm.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thur.vigan@lam.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ploi.cnrs.fr/Offres/CDD/UMR7326-ANAMEK-129/Default.aspx?lang=EN"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13" Type="http://schemas.openxmlformats.org/officeDocument/2006/relationships/image" Target="media/image6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7.sv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jpg"/><Relationship Id="rId11" Type="http://schemas.openxmlformats.org/officeDocument/2006/relationships/image" Target="media/image6.png"/><Relationship Id="rId5" Type="http://schemas.openxmlformats.org/officeDocument/2006/relationships/image" Target="media/image3.jpg"/><Relationship Id="rId10" Type="http://schemas.openxmlformats.org/officeDocument/2006/relationships/image" Target="media/image50.jpg"/><Relationship Id="rId4" Type="http://schemas.openxmlformats.org/officeDocument/2006/relationships/image" Target="media/image20.png"/><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1100</Words>
  <Characters>6054</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GILET Aurore</dc:creator>
  <cp:lastModifiedBy>GILET Aurore</cp:lastModifiedBy>
  <cp:revision>2</cp:revision>
  <dcterms:created xsi:type="dcterms:W3CDTF">2026-05-07T09:56:00Z</dcterms:created>
  <dcterms:modified xsi:type="dcterms:W3CDTF">2026-05-07T09:56:00Z</dcterms:modified>
</cp:coreProperties>
</file>